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16AD8" w14:textId="3741A587" w:rsidR="00197F93" w:rsidRPr="00CB3956" w:rsidRDefault="00197F93" w:rsidP="00197F93">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CB3956">
        <w:rPr>
          <w:rFonts w:ascii="Arial" w:eastAsia="MS Mincho" w:hAnsi="Arial" w:cs="Arial"/>
          <w:lang w:val="en-US"/>
        </w:rPr>
        <w:t xml:space="preserve"> </w:t>
      </w:r>
      <w:r w:rsidRPr="00CB3956">
        <w:rPr>
          <w:rFonts w:ascii="Arial" w:eastAsia="MS Mincho" w:hAnsi="Arial" w:cs="Arial"/>
          <w:b/>
          <w:sz w:val="24"/>
          <w:szCs w:val="24"/>
          <w:lang w:val="en-US"/>
        </w:rPr>
        <w:t>106</w:t>
      </w:r>
      <w:r w:rsidR="000D34AE" w:rsidRPr="000D34AE">
        <w:rPr>
          <w:rFonts w:ascii="Arial" w:eastAsia="MS Mincho" w:hAnsi="Arial" w:cs="Arial" w:hint="eastAsia"/>
          <w:b/>
          <w:sz w:val="24"/>
          <w:szCs w:val="24"/>
          <w:lang w:val="en-US"/>
        </w:rPr>
        <w:t>-</w:t>
      </w:r>
      <w:r w:rsidRPr="00CB3956">
        <w:rPr>
          <w:rFonts w:ascii="Arial" w:eastAsia="MS Mincho" w:hAnsi="Arial" w:cs="Arial"/>
          <w:b/>
          <w:sz w:val="24"/>
          <w:szCs w:val="24"/>
          <w:lang w:val="en-US"/>
        </w:rPr>
        <w:t>bis</w:t>
      </w:r>
      <w:r w:rsidRPr="00CB3956">
        <w:rPr>
          <w:rFonts w:ascii="SimSun" w:hAnsi="SimSun" w:cs="Arial" w:hint="eastAsia"/>
          <w:b/>
          <w:sz w:val="24"/>
          <w:szCs w:val="24"/>
          <w:lang w:val="en-US" w:eastAsia="zh-CN"/>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0D34AE" w:rsidRPr="000D34AE">
        <w:rPr>
          <w:rFonts w:ascii="Arial" w:eastAsia="MS Mincho" w:hAnsi="Arial" w:cs="Arial"/>
          <w:b/>
          <w:sz w:val="24"/>
          <w:szCs w:val="24"/>
          <w:lang w:val="en-US"/>
        </w:rPr>
        <w:t>4820</w:t>
      </w:r>
    </w:p>
    <w:p w14:paraId="6ABCAE3E" w14:textId="77777777" w:rsidR="00197F93" w:rsidRPr="00CB3956" w:rsidRDefault="00197F93" w:rsidP="00197F93">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2637FD31" w14:textId="77777777" w:rsidR="001E0A28" w:rsidRPr="00197F93" w:rsidRDefault="001E0A28" w:rsidP="001E0A28">
      <w:pPr>
        <w:spacing w:after="120"/>
        <w:ind w:left="1985" w:hanging="1985"/>
        <w:rPr>
          <w:rFonts w:ascii="Arial" w:eastAsia="MS Mincho" w:hAnsi="Arial" w:cs="Arial"/>
          <w:b/>
          <w:sz w:val="22"/>
          <w:lang w:val="en-US"/>
        </w:rPr>
      </w:pPr>
    </w:p>
    <w:p w14:paraId="282755FA" w14:textId="3B3D42F3"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197F93">
        <w:rPr>
          <w:rFonts w:ascii="Arial" w:eastAsia="新細明體" w:hAnsi="Arial" w:cs="Arial" w:hint="eastAsia"/>
          <w:color w:val="000000"/>
          <w:sz w:val="22"/>
          <w:lang w:val="pt-BR" w:eastAsia="zh-TW"/>
        </w:rPr>
        <w:t>6</w:t>
      </w:r>
      <w:r w:rsidR="00EB4C44" w:rsidRPr="00B54BA9">
        <w:rPr>
          <w:rFonts w:ascii="Arial" w:eastAsia="新細明體" w:hAnsi="Arial" w:cs="Arial"/>
          <w:color w:val="000000"/>
          <w:sz w:val="22"/>
          <w:lang w:eastAsia="zh-TW"/>
        </w:rPr>
        <w:t>.</w:t>
      </w:r>
      <w:r w:rsidR="000B4F04">
        <w:rPr>
          <w:rFonts w:ascii="Arial" w:eastAsia="新細明體" w:hAnsi="Arial" w:cs="Arial"/>
          <w:color w:val="000000"/>
          <w:sz w:val="22"/>
          <w:lang w:eastAsia="zh-TW"/>
        </w:rPr>
        <w:t>8</w:t>
      </w:r>
      <w:r w:rsidR="00EB4C44" w:rsidRPr="00B54BA9">
        <w:rPr>
          <w:rFonts w:ascii="Arial" w:eastAsia="新細明體" w:hAnsi="Arial" w:cs="Arial"/>
          <w:color w:val="000000"/>
          <w:sz w:val="22"/>
          <w:lang w:eastAsia="zh-TW"/>
        </w:rPr>
        <w:t>.</w:t>
      </w:r>
      <w:r w:rsidR="006E7BF9">
        <w:rPr>
          <w:rFonts w:ascii="Arial" w:eastAsia="新細明體" w:hAnsi="Arial" w:cs="Arial" w:hint="eastAsia"/>
          <w:color w:val="000000"/>
          <w:sz w:val="22"/>
          <w:lang w:eastAsia="zh-TW"/>
        </w:rPr>
        <w:t>6</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696DEC1"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C92758" w:rsidRPr="00C92758">
        <w:rPr>
          <w:rFonts w:ascii="Arial" w:eastAsiaTheme="minorEastAsia" w:hAnsi="Arial" w:cs="Arial"/>
          <w:color w:val="000000"/>
          <w:sz w:val="22"/>
          <w:lang w:eastAsia="zh-CN"/>
        </w:rPr>
        <w:t xml:space="preserve">Discussion on </w:t>
      </w:r>
      <w:r w:rsidR="007E17C3">
        <w:rPr>
          <w:rFonts w:ascii="Arial" w:eastAsiaTheme="minorEastAsia" w:hAnsi="Arial" w:cs="Arial"/>
          <w:color w:val="000000"/>
          <w:sz w:val="22"/>
          <w:lang w:eastAsia="zh-CN"/>
        </w:rPr>
        <w:t>RRM performance requirement</w:t>
      </w:r>
      <w:r w:rsidR="00C92758" w:rsidRPr="00C92758">
        <w:rPr>
          <w:rFonts w:ascii="Arial" w:eastAsiaTheme="minorEastAsia" w:hAnsi="Arial" w:cs="Arial"/>
          <w:color w:val="000000"/>
          <w:sz w:val="22"/>
          <w:lang w:eastAsia="zh-CN"/>
        </w:rPr>
        <w:t xml:space="preserve"> for IoT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1292B0BB" w14:textId="45750C45" w:rsidR="00E134D5" w:rsidRPr="0039049D" w:rsidRDefault="00E134D5" w:rsidP="00447B0C">
      <w:pPr>
        <w:pStyle w:val="Default"/>
        <w:jc w:val="both"/>
        <w:rPr>
          <w:rFonts w:ascii="Times New Roman" w:eastAsia="MS Mincho" w:hAnsi="Times New Roman" w:cs="Times New Roman"/>
          <w:color w:val="auto"/>
          <w:sz w:val="20"/>
          <w:szCs w:val="18"/>
          <w:lang w:val="en-GB"/>
        </w:rPr>
      </w:pPr>
      <w:r w:rsidRPr="0039049D">
        <w:rPr>
          <w:rFonts w:ascii="Times New Roman" w:eastAsia="MS Mincho" w:hAnsi="Times New Roman" w:cs="Times New Roman"/>
          <w:color w:val="auto"/>
          <w:sz w:val="20"/>
          <w:szCs w:val="18"/>
          <w:lang w:val="en-GB"/>
        </w:rPr>
        <w:t xml:space="preserve">In this contribution, our views are provided for </w:t>
      </w:r>
      <w:r w:rsidR="0039049D" w:rsidRPr="0039049D">
        <w:rPr>
          <w:rFonts w:ascii="Times New Roman" w:eastAsia="MS Mincho" w:hAnsi="Times New Roman" w:cs="Times New Roman"/>
          <w:color w:val="auto"/>
          <w:sz w:val="20"/>
          <w:szCs w:val="18"/>
          <w:lang w:val="en-GB"/>
        </w:rPr>
        <w:t>RRM performance requirement</w:t>
      </w:r>
      <w:r w:rsidRPr="0039049D">
        <w:rPr>
          <w:rFonts w:ascii="Times New Roman" w:eastAsia="MS Mincho" w:hAnsi="Times New Roman" w:cs="Times New Roman"/>
          <w:color w:val="auto"/>
          <w:sz w:val="20"/>
          <w:szCs w:val="18"/>
          <w:lang w:val="en-GB"/>
        </w:rPr>
        <w:t xml:space="preserve"> for IoT NTN</w:t>
      </w:r>
      <w:r w:rsidR="0039049D" w:rsidRPr="0039049D">
        <w:rPr>
          <w:rFonts w:ascii="Times New Roman" w:eastAsia="MS Mincho" w:hAnsi="Times New Roman" w:cs="Times New Roman"/>
          <w:color w:val="auto"/>
          <w:sz w:val="20"/>
          <w:szCs w:val="18"/>
          <w:lang w:val="en-GB"/>
        </w:rPr>
        <w:t>, including Power Headroom Reporting Table, Measurement Reporting Table, Tests involving neighbor cell measurement.</w:t>
      </w:r>
    </w:p>
    <w:p w14:paraId="7A52DA7B" w14:textId="0B73009E" w:rsidR="005A6AE8" w:rsidRPr="003D2BFB" w:rsidRDefault="005A6AE8" w:rsidP="005A6AE8">
      <w:pPr>
        <w:pStyle w:val="Heading1"/>
        <w:rPr>
          <w:rFonts w:cs="Arial"/>
          <w:lang w:eastAsia="ja-JP"/>
        </w:rPr>
      </w:pPr>
      <w:r>
        <w:rPr>
          <w:rFonts w:cs="Arial"/>
          <w:lang w:eastAsia="ja-JP"/>
        </w:rPr>
        <w:t>Measurement requirements</w:t>
      </w:r>
    </w:p>
    <w:p w14:paraId="5B9B198C" w14:textId="2111FB40" w:rsidR="00D11B19" w:rsidRPr="00D11B19" w:rsidRDefault="00D11B19" w:rsidP="005A6AE8">
      <w:pPr>
        <w:jc w:val="both"/>
        <w:rPr>
          <w:b/>
          <w:bCs/>
          <w:u w:val="single"/>
        </w:rPr>
      </w:pPr>
      <w:r w:rsidRPr="00D11B19">
        <w:rPr>
          <w:b/>
          <w:bCs/>
          <w:u w:val="single"/>
        </w:rPr>
        <w:t>Power Headroom Reporting Table</w:t>
      </w:r>
    </w:p>
    <w:p w14:paraId="124AE695" w14:textId="7C2AD011" w:rsidR="00D11B19" w:rsidRPr="00D11B19" w:rsidRDefault="00D11B19" w:rsidP="005A6AE8">
      <w:pPr>
        <w:jc w:val="both"/>
      </w:pPr>
      <w:r w:rsidRPr="00D11B19">
        <w:t xml:space="preserve">One remaining issue is </w:t>
      </w:r>
      <w:r>
        <w:t>whether t</w:t>
      </w:r>
      <w:r w:rsidR="00267B89">
        <w:t>o</w:t>
      </w:r>
      <w:r>
        <w:t xml:space="preserve"> reuse the </w:t>
      </w:r>
      <w:r w:rsidRPr="00D11B19">
        <w:t>legacy PHR table</w:t>
      </w:r>
      <w:r>
        <w:t xml:space="preserve"> (9.1.23 in TS36.133) for NB-IoT LEO. In NTN scenarios, the link budget is very limited so extension on the range of values doesn’t seem beneficial. </w:t>
      </w:r>
    </w:p>
    <w:p w14:paraId="7CB1485B" w14:textId="19C70AF7" w:rsidR="00D11B19" w:rsidRPr="0045336F" w:rsidRDefault="00D11B19" w:rsidP="00D11B19">
      <w:pPr>
        <w:pStyle w:val="Caption"/>
        <w:jc w:val="both"/>
        <w:rPr>
          <w:rFonts w:ascii="Arial" w:hAnsi="Arial" w:cs="Arial"/>
        </w:rPr>
      </w:pPr>
      <w:bookmarkStart w:id="2" w:name="_Ref131882709"/>
      <w:r w:rsidRPr="003D2BFB">
        <w:rPr>
          <w:rFonts w:ascii="Arial" w:hAnsi="Arial" w:cs="Arial"/>
        </w:rPr>
        <w:t xml:space="preserve">Proposal </w:t>
      </w:r>
      <w:r w:rsidRPr="003D2BFB">
        <w:rPr>
          <w:rFonts w:ascii="Arial" w:hAnsi="Arial" w:cs="Arial"/>
        </w:rPr>
        <w:fldChar w:fldCharType="begin"/>
      </w:r>
      <w:r w:rsidRPr="003D2BFB">
        <w:rPr>
          <w:rFonts w:ascii="Arial" w:hAnsi="Arial" w:cs="Arial"/>
        </w:rPr>
        <w:instrText xml:space="preserve"> SEQ Proposal \* ARABIC </w:instrText>
      </w:r>
      <w:r w:rsidRPr="003D2BFB">
        <w:rPr>
          <w:rFonts w:ascii="Arial" w:hAnsi="Arial" w:cs="Arial"/>
        </w:rPr>
        <w:fldChar w:fldCharType="separate"/>
      </w:r>
      <w:r w:rsidR="00041184">
        <w:rPr>
          <w:rFonts w:ascii="Arial" w:hAnsi="Arial" w:cs="Arial"/>
          <w:noProof/>
        </w:rPr>
        <w:t>1</w:t>
      </w:r>
      <w:r w:rsidRPr="003D2BFB">
        <w:rPr>
          <w:rFonts w:ascii="Arial" w:hAnsi="Arial" w:cs="Arial"/>
        </w:rPr>
        <w:fldChar w:fldCharType="end"/>
      </w:r>
      <w:r w:rsidRPr="003D2BFB">
        <w:rPr>
          <w:rFonts w:ascii="Arial" w:hAnsi="Arial" w:cs="Arial"/>
        </w:rPr>
        <w:t xml:space="preserve">: </w:t>
      </w:r>
      <w:r w:rsidRPr="00D11B19">
        <w:rPr>
          <w:rFonts w:ascii="Arial" w:hAnsi="Arial" w:cs="Arial"/>
        </w:rPr>
        <w:t xml:space="preserve">For NB-IoT </w:t>
      </w:r>
      <w:r>
        <w:rPr>
          <w:rFonts w:ascii="Arial" w:hAnsi="Arial" w:cs="Arial"/>
        </w:rPr>
        <w:t>LEO</w:t>
      </w:r>
      <w:r w:rsidRPr="00D11B19">
        <w:rPr>
          <w:rFonts w:ascii="Arial" w:hAnsi="Arial" w:cs="Arial"/>
        </w:rPr>
        <w:t>, legacy PHR table can be reused for IoT NTN.</w:t>
      </w:r>
      <w:bookmarkEnd w:id="2"/>
    </w:p>
    <w:p w14:paraId="269ABAC5" w14:textId="150E07C3" w:rsidR="00D11B19" w:rsidRDefault="00D11B19" w:rsidP="005A6AE8">
      <w:pPr>
        <w:jc w:val="both"/>
        <w:rPr>
          <w:shd w:val="pct15" w:color="auto" w:fill="FFFFFF"/>
        </w:rPr>
      </w:pPr>
    </w:p>
    <w:p w14:paraId="4D3CBF19" w14:textId="3563E23D" w:rsidR="00E91773" w:rsidRPr="00D11B19" w:rsidRDefault="00E91773" w:rsidP="00E91773">
      <w:pPr>
        <w:jc w:val="both"/>
        <w:rPr>
          <w:b/>
          <w:bCs/>
          <w:u w:val="single"/>
        </w:rPr>
      </w:pPr>
      <w:r>
        <w:rPr>
          <w:b/>
          <w:bCs/>
          <w:u w:val="single"/>
        </w:rPr>
        <w:t>Measurement</w:t>
      </w:r>
      <w:r w:rsidRPr="00D11B19">
        <w:rPr>
          <w:b/>
          <w:bCs/>
          <w:u w:val="single"/>
        </w:rPr>
        <w:t xml:space="preserve"> Reporting Table</w:t>
      </w:r>
    </w:p>
    <w:p w14:paraId="2376F8CC" w14:textId="2A505BA0" w:rsidR="00E91773" w:rsidRPr="00E91773" w:rsidRDefault="00E91773" w:rsidP="00E91773">
      <w:pPr>
        <w:spacing w:after="120"/>
        <w:textAlignment w:val="center"/>
      </w:pPr>
      <w:r>
        <w:t xml:space="preserve">It has been agreed to </w:t>
      </w:r>
      <w:r>
        <w:rPr>
          <w:rFonts w:eastAsia="新細明體" w:hint="eastAsia"/>
          <w:lang w:eastAsia="zh-TW"/>
        </w:rPr>
        <w:t>r</w:t>
      </w:r>
      <w:r w:rsidRPr="00E91773">
        <w:t xml:space="preserve">euse the legacy TN measurement accuracy requirements for IoT NTN. </w:t>
      </w:r>
      <w:r>
        <w:t>(</w:t>
      </w:r>
      <w:r w:rsidRPr="00E91773">
        <w:t>RAN4#105, R4-2220362):</w:t>
      </w:r>
    </w:p>
    <w:p w14:paraId="052313D6" w14:textId="5E133F79" w:rsidR="00E91773" w:rsidRPr="00E91773" w:rsidRDefault="00E91773" w:rsidP="00E91773">
      <w:pPr>
        <w:numPr>
          <w:ilvl w:val="0"/>
          <w:numId w:val="15"/>
        </w:numPr>
        <w:spacing w:after="120"/>
        <w:textAlignment w:val="center"/>
        <w:rPr>
          <w:rFonts w:ascii="Calibri Light" w:eastAsia="Times New Roman" w:hAnsi="Calibri Light" w:cs="Calibri Light"/>
          <w:i/>
          <w:iCs/>
          <w:sz w:val="24"/>
          <w:szCs w:val="24"/>
          <w:lang w:eastAsia="zh-CN"/>
        </w:rPr>
      </w:pPr>
      <w:r w:rsidRPr="00E91773">
        <w:rPr>
          <w:rFonts w:eastAsia="Times New Roman"/>
          <w:i/>
          <w:iCs/>
          <w:lang w:eastAsia="zh-CN"/>
        </w:rPr>
        <w:t xml:space="preserve">Reuse the legacy TN measurement accuracy requirements for IoT NTN.  </w:t>
      </w:r>
    </w:p>
    <w:p w14:paraId="2DBC9E6F" w14:textId="77777777" w:rsidR="00E91773" w:rsidRPr="00E91773" w:rsidRDefault="00E91773" w:rsidP="00E91773">
      <w:pPr>
        <w:numPr>
          <w:ilvl w:val="1"/>
          <w:numId w:val="15"/>
        </w:numPr>
        <w:textAlignment w:val="center"/>
        <w:rPr>
          <w:rFonts w:ascii="Calibri Light" w:eastAsia="Times New Roman" w:hAnsi="Calibri Light" w:cs="Calibri Light"/>
          <w:i/>
          <w:iCs/>
          <w:sz w:val="24"/>
          <w:szCs w:val="24"/>
          <w:lang w:eastAsia="zh-CN"/>
        </w:rPr>
      </w:pPr>
      <w:r w:rsidRPr="00E91773">
        <w:rPr>
          <w:rFonts w:eastAsia="Times New Roman"/>
          <w:i/>
          <w:iCs/>
          <w:lang w:eastAsia="zh-CN"/>
        </w:rPr>
        <w:t xml:space="preserve">For </w:t>
      </w:r>
      <w:proofErr w:type="spellStart"/>
      <w:r w:rsidRPr="00E91773">
        <w:rPr>
          <w:rFonts w:eastAsia="Times New Roman"/>
          <w:i/>
          <w:iCs/>
          <w:lang w:eastAsia="zh-CN"/>
        </w:rPr>
        <w:t>eMTC</w:t>
      </w:r>
      <w:proofErr w:type="spellEnd"/>
      <w:r w:rsidRPr="00E91773">
        <w:rPr>
          <w:rFonts w:eastAsia="Times New Roman"/>
          <w:i/>
          <w:iCs/>
          <w:lang w:eastAsia="zh-CN"/>
        </w:rPr>
        <w:t xml:space="preserve">, the legacy measurement accuracy requirements (CRS based and RSS based) from LTE </w:t>
      </w:r>
      <w:proofErr w:type="spellStart"/>
      <w:r w:rsidRPr="00E91773">
        <w:rPr>
          <w:rFonts w:eastAsia="Times New Roman"/>
          <w:i/>
          <w:iCs/>
          <w:lang w:eastAsia="zh-CN"/>
        </w:rPr>
        <w:t>eMTC</w:t>
      </w:r>
      <w:proofErr w:type="spellEnd"/>
      <w:r w:rsidRPr="00E91773">
        <w:rPr>
          <w:rFonts w:eastAsia="Times New Roman"/>
          <w:i/>
          <w:iCs/>
          <w:lang w:eastAsia="zh-CN"/>
        </w:rPr>
        <w:t xml:space="preserve"> are reused for </w:t>
      </w:r>
      <w:proofErr w:type="spellStart"/>
      <w:r w:rsidRPr="00E91773">
        <w:rPr>
          <w:rFonts w:eastAsia="Times New Roman"/>
          <w:i/>
          <w:iCs/>
          <w:lang w:eastAsia="zh-CN"/>
        </w:rPr>
        <w:t>eMTC</w:t>
      </w:r>
      <w:proofErr w:type="spellEnd"/>
      <w:r w:rsidRPr="00E91773">
        <w:rPr>
          <w:rFonts w:eastAsia="Times New Roman"/>
          <w:i/>
          <w:iCs/>
          <w:lang w:eastAsia="zh-CN"/>
        </w:rPr>
        <w:t xml:space="preserve"> NTN. </w:t>
      </w:r>
    </w:p>
    <w:p w14:paraId="3816C9D0" w14:textId="77777777" w:rsidR="00E91773" w:rsidRPr="00E91773" w:rsidRDefault="00E91773" w:rsidP="00E91773">
      <w:pPr>
        <w:numPr>
          <w:ilvl w:val="1"/>
          <w:numId w:val="15"/>
        </w:numPr>
        <w:textAlignment w:val="center"/>
        <w:rPr>
          <w:rFonts w:ascii="Calibri Light" w:eastAsia="Times New Roman" w:hAnsi="Calibri Light" w:cs="Calibri Light"/>
          <w:i/>
          <w:iCs/>
          <w:sz w:val="24"/>
          <w:szCs w:val="24"/>
          <w:lang w:eastAsia="zh-CN"/>
        </w:rPr>
      </w:pPr>
      <w:r w:rsidRPr="00E91773">
        <w:rPr>
          <w:rFonts w:eastAsia="Times New Roman"/>
          <w:i/>
          <w:iCs/>
          <w:lang w:eastAsia="zh-CN"/>
        </w:rPr>
        <w:t xml:space="preserve">For NB-IoT, the legacy measurement accuracy requirements (NRS based and NSSS-based) from LTE NB-IoT are reused for NB-IoT NTN </w:t>
      </w:r>
    </w:p>
    <w:p w14:paraId="0E0C97DC" w14:textId="27005221" w:rsidR="00E91773" w:rsidRPr="00E9641B" w:rsidRDefault="00E9641B" w:rsidP="00E91773">
      <w:pPr>
        <w:pStyle w:val="Caption"/>
        <w:jc w:val="both"/>
        <w:rPr>
          <w:b w:val="0"/>
        </w:rPr>
      </w:pPr>
      <w:r>
        <w:rPr>
          <w:b w:val="0"/>
        </w:rPr>
        <w:t>Regarding t</w:t>
      </w:r>
      <w:r w:rsidRPr="00E9641B">
        <w:rPr>
          <w:b w:val="0"/>
        </w:rPr>
        <w:t xml:space="preserve">he </w:t>
      </w:r>
      <w:r w:rsidR="00267B89">
        <w:rPr>
          <w:b w:val="0"/>
        </w:rPr>
        <w:t xml:space="preserve">measurement </w:t>
      </w:r>
      <w:r w:rsidRPr="00E9641B">
        <w:rPr>
          <w:b w:val="0"/>
        </w:rPr>
        <w:t>reporting</w:t>
      </w:r>
      <w:r>
        <w:rPr>
          <w:b w:val="0"/>
        </w:rPr>
        <w:t xml:space="preserve"> table</w:t>
      </w:r>
      <w:r w:rsidR="00267B89">
        <w:rPr>
          <w:b w:val="0"/>
        </w:rPr>
        <w:t>s</w:t>
      </w:r>
      <w:r>
        <w:rPr>
          <w:b w:val="0"/>
        </w:rPr>
        <w:t xml:space="preserve">, </w:t>
      </w:r>
      <w:r w:rsidR="00267B89">
        <w:rPr>
          <w:b w:val="0"/>
        </w:rPr>
        <w:t xml:space="preserve">we propose to reuse the </w:t>
      </w:r>
      <w:r w:rsidR="00267B89" w:rsidRPr="00267B89">
        <w:rPr>
          <w:b w:val="0"/>
        </w:rPr>
        <w:t>legacy RSRP/RSRP/NRSRP/NRSRQ measurement report mapping</w:t>
      </w:r>
      <w:r w:rsidR="00267B89">
        <w:rPr>
          <w:b w:val="0"/>
        </w:rPr>
        <w:t xml:space="preserve"> for IoT NTN for simplicity because the need to introduce new tables is not significant.  </w:t>
      </w:r>
    </w:p>
    <w:p w14:paraId="45BC61E3" w14:textId="259416A9" w:rsidR="00E91773" w:rsidRPr="0045336F" w:rsidRDefault="00E91773" w:rsidP="00E91773">
      <w:pPr>
        <w:pStyle w:val="Caption"/>
        <w:jc w:val="both"/>
        <w:rPr>
          <w:rFonts w:ascii="Arial" w:hAnsi="Arial" w:cs="Arial"/>
        </w:rPr>
      </w:pPr>
      <w:bookmarkStart w:id="3" w:name="_Ref131882713"/>
      <w:r w:rsidRPr="003D2BFB">
        <w:rPr>
          <w:rFonts w:ascii="Arial" w:hAnsi="Arial" w:cs="Arial"/>
        </w:rPr>
        <w:t xml:space="preserve">Proposal </w:t>
      </w:r>
      <w:r w:rsidRPr="003D2BFB">
        <w:rPr>
          <w:rFonts w:ascii="Arial" w:hAnsi="Arial" w:cs="Arial"/>
        </w:rPr>
        <w:fldChar w:fldCharType="begin"/>
      </w:r>
      <w:r w:rsidRPr="003D2BFB">
        <w:rPr>
          <w:rFonts w:ascii="Arial" w:hAnsi="Arial" w:cs="Arial"/>
        </w:rPr>
        <w:instrText xml:space="preserve"> SEQ Proposal \* ARABIC </w:instrText>
      </w:r>
      <w:r w:rsidRPr="003D2BFB">
        <w:rPr>
          <w:rFonts w:ascii="Arial" w:hAnsi="Arial" w:cs="Arial"/>
        </w:rPr>
        <w:fldChar w:fldCharType="separate"/>
      </w:r>
      <w:r w:rsidR="00041184">
        <w:rPr>
          <w:rFonts w:ascii="Arial" w:hAnsi="Arial" w:cs="Arial"/>
          <w:noProof/>
        </w:rPr>
        <w:t>2</w:t>
      </w:r>
      <w:r w:rsidRPr="003D2BFB">
        <w:rPr>
          <w:rFonts w:ascii="Arial" w:hAnsi="Arial" w:cs="Arial"/>
        </w:rPr>
        <w:fldChar w:fldCharType="end"/>
      </w:r>
      <w:r w:rsidRPr="003D2BFB">
        <w:rPr>
          <w:rFonts w:ascii="Arial" w:hAnsi="Arial" w:cs="Arial"/>
        </w:rPr>
        <w:t xml:space="preserve">: </w:t>
      </w:r>
      <w:r w:rsidRPr="00E91773">
        <w:rPr>
          <w:rFonts w:ascii="Arial" w:hAnsi="Arial" w:cs="Arial"/>
        </w:rPr>
        <w:t>The legacy RSRP/RSRP/NRSRP/NRSRQ measurement report mapping can be reused for IoT NTN.</w:t>
      </w:r>
      <w:bookmarkEnd w:id="3"/>
    </w:p>
    <w:p w14:paraId="48C93125" w14:textId="77777777" w:rsidR="006A7896" w:rsidRDefault="006A7896" w:rsidP="005A6AE8">
      <w:pPr>
        <w:jc w:val="both"/>
        <w:rPr>
          <w:b/>
          <w:bCs/>
          <w:u w:val="single"/>
        </w:rPr>
      </w:pPr>
    </w:p>
    <w:p w14:paraId="564C6E9F" w14:textId="3686393B" w:rsidR="00E91773" w:rsidRPr="006A7896" w:rsidRDefault="006A7896" w:rsidP="005A6AE8">
      <w:pPr>
        <w:jc w:val="both"/>
        <w:rPr>
          <w:b/>
          <w:bCs/>
          <w:u w:val="single"/>
        </w:rPr>
      </w:pPr>
      <w:r>
        <w:rPr>
          <w:b/>
          <w:bCs/>
          <w:u w:val="single"/>
        </w:rPr>
        <w:t>Spec structure for measurement accuracy and PHR</w:t>
      </w:r>
    </w:p>
    <w:p w14:paraId="5838D660" w14:textId="238BE2D9" w:rsidR="00EB498B" w:rsidRPr="00EB498B" w:rsidRDefault="00EB498B" w:rsidP="006A7896">
      <w:pPr>
        <w:spacing w:after="0"/>
        <w:textAlignment w:val="center"/>
        <w:rPr>
          <w:rFonts w:eastAsia="新細明體"/>
          <w:lang w:eastAsia="zh-TW"/>
        </w:rPr>
      </w:pPr>
      <w:r w:rsidRPr="00EB498B">
        <w:rPr>
          <w:rFonts w:eastAsia="新細明體"/>
          <w:lang w:eastAsia="zh-TW"/>
        </w:rPr>
        <w:t xml:space="preserve">Although the </w:t>
      </w:r>
      <w:r w:rsidRPr="00E91773">
        <w:t>measurement accuracy requirements</w:t>
      </w:r>
      <w:r>
        <w:t xml:space="preserve"> are reused, it still need to update the tables for satellite a</w:t>
      </w:r>
      <w:r w:rsidRPr="00EB498B">
        <w:t>ccess bands</w:t>
      </w:r>
      <w:r>
        <w:rPr>
          <w:rFonts w:eastAsia="新細明體"/>
          <w:lang w:eastAsia="zh-TW"/>
        </w:rPr>
        <w:t xml:space="preserve"> for</w:t>
      </w:r>
      <w:r>
        <w:t xml:space="preserve"> NTN IoT, i.e.  </w:t>
      </w:r>
      <w:r w:rsidRPr="00EB498B">
        <w:t>FDD-M1_SAB_A</w:t>
      </w:r>
      <w:r>
        <w:t xml:space="preserve">/B, </w:t>
      </w:r>
      <w:r w:rsidRPr="00EB498B">
        <w:t>NFDD_SAB_G</w:t>
      </w:r>
      <w:r>
        <w:t>. It could either introduce separate clauses/tables for IoT NTN (</w:t>
      </w:r>
      <w:proofErr w:type="gramStart"/>
      <w:r>
        <w:t>similar to</w:t>
      </w:r>
      <w:proofErr w:type="gramEnd"/>
      <w:r>
        <w:t xml:space="preserve"> the approach used in NR NTN) or update band group on the existing tables. By considering the specification clarify, we prefer to introduce new separate clauses for IoT NTN, and it can be easier for maintenance/extension if more bands are introduced in the future. </w:t>
      </w:r>
    </w:p>
    <w:p w14:paraId="1DA01E1B" w14:textId="255892BC" w:rsidR="006A7896" w:rsidRPr="0045336F" w:rsidRDefault="006A7896" w:rsidP="006A7896">
      <w:pPr>
        <w:pStyle w:val="Caption"/>
        <w:jc w:val="both"/>
        <w:rPr>
          <w:rFonts w:ascii="Arial" w:hAnsi="Arial" w:cs="Arial"/>
        </w:rPr>
      </w:pPr>
      <w:bookmarkStart w:id="4" w:name="_Ref131882715"/>
      <w:r w:rsidRPr="003D2BFB">
        <w:rPr>
          <w:rFonts w:ascii="Arial" w:hAnsi="Arial" w:cs="Arial"/>
        </w:rPr>
        <w:t xml:space="preserve">Proposal </w:t>
      </w:r>
      <w:r w:rsidRPr="003D2BFB">
        <w:rPr>
          <w:rFonts w:ascii="Arial" w:hAnsi="Arial" w:cs="Arial"/>
        </w:rPr>
        <w:fldChar w:fldCharType="begin"/>
      </w:r>
      <w:r w:rsidRPr="003D2BFB">
        <w:rPr>
          <w:rFonts w:ascii="Arial" w:hAnsi="Arial" w:cs="Arial"/>
        </w:rPr>
        <w:instrText xml:space="preserve"> SEQ Proposal \* ARABIC </w:instrText>
      </w:r>
      <w:r w:rsidRPr="003D2BFB">
        <w:rPr>
          <w:rFonts w:ascii="Arial" w:hAnsi="Arial" w:cs="Arial"/>
        </w:rPr>
        <w:fldChar w:fldCharType="separate"/>
      </w:r>
      <w:r w:rsidR="00041184">
        <w:rPr>
          <w:rFonts w:ascii="Arial" w:hAnsi="Arial" w:cs="Arial"/>
          <w:noProof/>
        </w:rPr>
        <w:t>3</w:t>
      </w:r>
      <w:r w:rsidRPr="003D2BFB">
        <w:rPr>
          <w:rFonts w:ascii="Arial" w:hAnsi="Arial" w:cs="Arial"/>
        </w:rPr>
        <w:fldChar w:fldCharType="end"/>
      </w:r>
      <w:r w:rsidRPr="003D2BFB">
        <w:rPr>
          <w:rFonts w:ascii="Arial" w:hAnsi="Arial" w:cs="Arial"/>
        </w:rPr>
        <w:t xml:space="preserve">: </w:t>
      </w:r>
      <w:r w:rsidRPr="006A7896">
        <w:rPr>
          <w:rFonts w:ascii="Arial" w:hAnsi="Arial" w:cs="Arial"/>
        </w:rPr>
        <w:t>Introduce the following clause</w:t>
      </w:r>
      <w:r w:rsidR="00EB498B">
        <w:rPr>
          <w:rFonts w:ascii="Arial" w:hAnsi="Arial" w:cs="Arial"/>
        </w:rPr>
        <w:t>s</w:t>
      </w:r>
      <w:r w:rsidRPr="006A7896">
        <w:rPr>
          <w:rFonts w:ascii="Arial" w:hAnsi="Arial" w:cs="Arial"/>
        </w:rPr>
        <w:t xml:space="preserve"> for regarding the measurement accuracy for IoT NTN</w:t>
      </w:r>
      <w:r>
        <w:rPr>
          <w:rFonts w:ascii="Arial" w:hAnsi="Arial" w:cs="Arial"/>
        </w:rPr>
        <w:t>:</w:t>
      </w:r>
      <w:bookmarkEnd w:id="4"/>
    </w:p>
    <w:p w14:paraId="162EE208" w14:textId="77777777" w:rsidR="006A7896" w:rsidRPr="006A7896" w:rsidRDefault="006A7896" w:rsidP="006A7896">
      <w:pPr>
        <w:numPr>
          <w:ilvl w:val="0"/>
          <w:numId w:val="16"/>
        </w:numPr>
        <w:spacing w:after="0"/>
        <w:textAlignment w:val="center"/>
        <w:rPr>
          <w:rFonts w:ascii="Arial" w:hAnsi="Arial" w:cs="Arial"/>
          <w:b/>
        </w:rPr>
      </w:pPr>
      <w:r w:rsidRPr="006A7896">
        <w:rPr>
          <w:rFonts w:ascii="Arial" w:hAnsi="Arial" w:cs="Arial"/>
          <w:b/>
        </w:rPr>
        <w:t>9.1.21A        Measurement accuracy for UE category M1 for satellite access</w:t>
      </w:r>
    </w:p>
    <w:p w14:paraId="1FA21A76" w14:textId="77777777" w:rsidR="006A7896" w:rsidRPr="006A7896" w:rsidRDefault="006A7896" w:rsidP="006A7896">
      <w:pPr>
        <w:numPr>
          <w:ilvl w:val="0"/>
          <w:numId w:val="16"/>
        </w:numPr>
        <w:spacing w:after="0"/>
        <w:textAlignment w:val="center"/>
        <w:rPr>
          <w:rFonts w:ascii="Arial" w:hAnsi="Arial" w:cs="Arial"/>
          <w:b/>
        </w:rPr>
      </w:pPr>
      <w:r w:rsidRPr="006A7896">
        <w:rPr>
          <w:rFonts w:ascii="Arial" w:hAnsi="Arial" w:cs="Arial"/>
          <w:b/>
        </w:rPr>
        <w:t>9.1.22A        Measurement accuracy for UE Category NB1 for satellite access</w:t>
      </w:r>
    </w:p>
    <w:p w14:paraId="4EF0964B" w14:textId="5586C411" w:rsidR="005A6AE8" w:rsidRPr="00EB498B" w:rsidRDefault="006A7896" w:rsidP="00EB498B">
      <w:pPr>
        <w:numPr>
          <w:ilvl w:val="0"/>
          <w:numId w:val="16"/>
        </w:numPr>
        <w:spacing w:after="0"/>
        <w:textAlignment w:val="center"/>
        <w:rPr>
          <w:rFonts w:ascii="Arial" w:hAnsi="Arial" w:cs="Arial"/>
          <w:b/>
        </w:rPr>
      </w:pPr>
      <w:r w:rsidRPr="006A7896">
        <w:rPr>
          <w:rFonts w:ascii="Arial" w:hAnsi="Arial" w:cs="Arial"/>
          <w:b/>
        </w:rPr>
        <w:t>9.1.23A        Power Headroom for UE Category NB1 for Satellite Access</w:t>
      </w:r>
    </w:p>
    <w:p w14:paraId="76A781AC" w14:textId="62212146" w:rsidR="00230C25" w:rsidRPr="003D2BFB" w:rsidRDefault="003D2BFB" w:rsidP="00230C25">
      <w:pPr>
        <w:pStyle w:val="Heading1"/>
        <w:rPr>
          <w:rFonts w:cs="Arial"/>
          <w:lang w:eastAsia="ja-JP"/>
        </w:rPr>
      </w:pPr>
      <w:r w:rsidRPr="003D2BFB">
        <w:rPr>
          <w:rFonts w:cs="Arial"/>
          <w:lang w:eastAsia="ja-JP"/>
        </w:rPr>
        <w:lastRenderedPageBreak/>
        <w:t>Tests involving neighbor cell measurement</w:t>
      </w:r>
    </w:p>
    <w:p w14:paraId="7ECDD1FB" w14:textId="2B30DFA1" w:rsidR="004655D2" w:rsidRPr="00E95C45" w:rsidRDefault="00C51A9B" w:rsidP="00D45589">
      <w:pPr>
        <w:jc w:val="both"/>
      </w:pPr>
      <w:r w:rsidRPr="00E95C45">
        <w:t xml:space="preserve">As discussed in our companion paper in </w:t>
      </w:r>
      <w:r w:rsidRPr="00E95C45">
        <w:fldChar w:fldCharType="begin"/>
      </w:r>
      <w:r w:rsidRPr="00E95C45">
        <w:instrText xml:space="preserve"> REF _Ref127537757 \n \h </w:instrText>
      </w:r>
      <w:r w:rsidR="00D45589" w:rsidRPr="00E95C45">
        <w:instrText xml:space="preserve"> \* MERGEFORMAT </w:instrText>
      </w:r>
      <w:r w:rsidRPr="00E95C45">
        <w:fldChar w:fldCharType="separate"/>
      </w:r>
      <w:r w:rsidR="00041184">
        <w:t>[2]</w:t>
      </w:r>
      <w:r w:rsidRPr="00E95C45">
        <w:fldChar w:fldCharType="end"/>
      </w:r>
      <w:r w:rsidRPr="00E95C45">
        <w:t xml:space="preserve">, </w:t>
      </w:r>
      <w:r w:rsidR="006F3EE4" w:rsidRPr="00E95C45">
        <w:t xml:space="preserve">the satellite assistance information of neighbour cells will not be provided in SIB in </w:t>
      </w:r>
      <w:r w:rsidRPr="00E95C45">
        <w:t>Rel-17 UE</w:t>
      </w:r>
      <w:r w:rsidR="006F3EE4" w:rsidRPr="00E95C45">
        <w:t xml:space="preserve">. </w:t>
      </w:r>
      <w:proofErr w:type="gramStart"/>
      <w:r w:rsidR="006F3EE4" w:rsidRPr="00E95C45">
        <w:t>Thus</w:t>
      </w:r>
      <w:proofErr w:type="gramEnd"/>
      <w:r w:rsidR="006F3EE4" w:rsidRPr="00E95C45">
        <w:t xml:space="preserve"> some test cases</w:t>
      </w:r>
      <w:r w:rsidR="00D45589" w:rsidRPr="00E95C45">
        <w:t xml:space="preserve"> involving neighbour cell measurements</w:t>
      </w:r>
      <w:r w:rsidR="006F3EE4" w:rsidRPr="00E95C45">
        <w:t xml:space="preserve"> will not be applicable for Rel-17 UEs, e.g. IDLE mode re-selections. </w:t>
      </w:r>
      <w:r w:rsidR="006A2671" w:rsidRPr="00E95C45">
        <w:t xml:space="preserve">The initial analysis </w:t>
      </w:r>
      <w:r w:rsidR="00B457C3" w:rsidRPr="00E95C45">
        <w:t xml:space="preserve">is provided </w:t>
      </w:r>
      <w:r w:rsidR="006A2671" w:rsidRPr="00E95C45">
        <w:t>on whether the neighbour cell measurement is involved</w:t>
      </w:r>
      <w:r w:rsidR="00B457C3" w:rsidRPr="00E95C45">
        <w:t xml:space="preserve"> in </w:t>
      </w:r>
      <w:r w:rsidR="00186B59" w:rsidRPr="00E95C45">
        <w:t xml:space="preserve">the </w:t>
      </w:r>
      <w:r w:rsidR="00B457C3" w:rsidRPr="00E95C45">
        <w:t>test</w:t>
      </w:r>
      <w:r w:rsidR="00186B59" w:rsidRPr="00E95C45">
        <w:t>s</w:t>
      </w:r>
      <w:r w:rsidR="00B457C3" w:rsidRPr="00E95C45">
        <w:t xml:space="preserve"> and the corresponding satellite information is not available</w:t>
      </w:r>
      <w:r w:rsidR="006A2671" w:rsidRPr="00E95C45">
        <w:t xml:space="preserve">. </w:t>
      </w:r>
    </w:p>
    <w:p w14:paraId="522ABDB0" w14:textId="5247A0F7" w:rsidR="00976B79" w:rsidRDefault="00E95C45" w:rsidP="00E95C45">
      <w:pPr>
        <w:jc w:val="both"/>
        <w:textAlignment w:val="center"/>
        <w:rPr>
          <w:rFonts w:eastAsia="Times New Roman"/>
          <w:lang w:eastAsia="zh-CN"/>
        </w:rPr>
      </w:pPr>
      <w:bookmarkStart w:id="5" w:name="_Ref127552103"/>
      <w:r>
        <w:rPr>
          <w:rFonts w:eastAsia="Times New Roman"/>
          <w:lang w:eastAsia="zh-CN"/>
        </w:rPr>
        <w:t>However, it needs to revisit whether to apply intra-frequency neighbor cell measurements requirements for GEO case. For GEO, satellite information for neighbor cell is not critical as NGSO for Doppler estimation. Besides, unlike NR, in LTE UE will search the cell timing without SMTC, and the timing will not vary in the GEO. Besides, in intra-frequency neighbor cell measurement, requirement is defined for same type of satellite (</w:t>
      </w:r>
      <w:proofErr w:type="gramStart"/>
      <w:r>
        <w:rPr>
          <w:rFonts w:eastAsia="Times New Roman"/>
          <w:lang w:eastAsia="zh-CN"/>
        </w:rPr>
        <w:t>i.e.</w:t>
      </w:r>
      <w:proofErr w:type="gramEnd"/>
      <w:r>
        <w:rPr>
          <w:rFonts w:eastAsia="Times New Roman"/>
          <w:lang w:eastAsia="zh-CN"/>
        </w:rPr>
        <w:t xml:space="preserve"> GEO).  </w:t>
      </w:r>
      <w:proofErr w:type="gramStart"/>
      <w:r>
        <w:rPr>
          <w:rFonts w:eastAsia="Times New Roman"/>
          <w:lang w:eastAsia="zh-CN"/>
        </w:rPr>
        <w:t>Thus</w:t>
      </w:r>
      <w:proofErr w:type="gramEnd"/>
      <w:r>
        <w:rPr>
          <w:rFonts w:eastAsia="Times New Roman"/>
          <w:lang w:eastAsia="zh-CN"/>
        </w:rPr>
        <w:t xml:space="preserve"> RAN4 can consider to still apply the existing requirement for intra-frequency measurement in GEO, when the satellite assistance information of neighbour cells in system information is not provided.</w:t>
      </w:r>
      <w:r w:rsidR="00976B79">
        <w:rPr>
          <w:rFonts w:eastAsia="Times New Roman"/>
          <w:lang w:eastAsia="zh-CN"/>
        </w:rPr>
        <w:t xml:space="preserve"> The detailed test cases based on WF </w:t>
      </w:r>
      <w:r w:rsidR="00976B79">
        <w:rPr>
          <w:rFonts w:eastAsia="Times New Roman"/>
          <w:lang w:eastAsia="zh-CN"/>
        </w:rPr>
        <w:fldChar w:fldCharType="begin"/>
      </w:r>
      <w:r w:rsidR="00976B79">
        <w:rPr>
          <w:rFonts w:eastAsia="Times New Roman"/>
          <w:lang w:eastAsia="zh-CN"/>
        </w:rPr>
        <w:instrText xml:space="preserve"> REF _Ref132057305 \n \h </w:instrText>
      </w:r>
      <w:r w:rsidR="00976B79">
        <w:rPr>
          <w:rFonts w:eastAsia="Times New Roman"/>
          <w:lang w:eastAsia="zh-CN"/>
        </w:rPr>
      </w:r>
      <w:r w:rsidR="00976B79">
        <w:rPr>
          <w:rFonts w:eastAsia="Times New Roman"/>
          <w:lang w:eastAsia="zh-CN"/>
        </w:rPr>
        <w:fldChar w:fldCharType="separate"/>
      </w:r>
      <w:r w:rsidR="00041184">
        <w:rPr>
          <w:rFonts w:eastAsia="Times New Roman"/>
          <w:lang w:eastAsia="zh-CN"/>
        </w:rPr>
        <w:t>[1]</w:t>
      </w:r>
      <w:r w:rsidR="00976B79">
        <w:rPr>
          <w:rFonts w:eastAsia="Times New Roman"/>
          <w:lang w:eastAsia="zh-CN"/>
        </w:rPr>
        <w:fldChar w:fldCharType="end"/>
      </w:r>
      <w:r w:rsidR="00976B79">
        <w:rPr>
          <w:rFonts w:eastAsia="Times New Roman"/>
          <w:lang w:eastAsia="zh-CN"/>
        </w:rPr>
        <w:t xml:space="preserve"> is </w:t>
      </w:r>
      <w:r w:rsidR="007A2F03">
        <w:rPr>
          <w:rFonts w:eastAsia="Times New Roman"/>
          <w:lang w:eastAsia="zh-CN"/>
        </w:rPr>
        <w:t xml:space="preserve">proposed. </w:t>
      </w:r>
      <w:r w:rsidR="00976B79">
        <w:rPr>
          <w:rFonts w:eastAsia="Times New Roman"/>
          <w:lang w:eastAsia="zh-CN"/>
        </w:rPr>
        <w:t xml:space="preserve"> </w:t>
      </w:r>
    </w:p>
    <w:p w14:paraId="74DF35D3" w14:textId="0746D9E8" w:rsidR="00041184" w:rsidRPr="00041184" w:rsidRDefault="00041184" w:rsidP="00041184">
      <w:pPr>
        <w:pStyle w:val="Caption"/>
        <w:jc w:val="both"/>
        <w:rPr>
          <w:rFonts w:ascii="Arial" w:hAnsi="Arial" w:cs="Arial"/>
        </w:rPr>
      </w:pPr>
      <w:bookmarkStart w:id="6" w:name="_Ref132057774"/>
      <w:bookmarkEnd w:id="5"/>
      <w:r w:rsidRPr="003D2BFB">
        <w:rPr>
          <w:rFonts w:ascii="Arial" w:hAnsi="Arial" w:cs="Arial"/>
        </w:rPr>
        <w:t xml:space="preserve">Proposal </w:t>
      </w:r>
      <w:r w:rsidRPr="003D2BFB">
        <w:rPr>
          <w:rFonts w:ascii="Arial" w:hAnsi="Arial" w:cs="Arial"/>
        </w:rPr>
        <w:fldChar w:fldCharType="begin"/>
      </w:r>
      <w:r w:rsidRPr="003D2BFB">
        <w:rPr>
          <w:rFonts w:ascii="Arial" w:hAnsi="Arial" w:cs="Arial"/>
        </w:rPr>
        <w:instrText xml:space="preserve"> SEQ Proposal \* ARABIC </w:instrText>
      </w:r>
      <w:r w:rsidRPr="003D2BFB">
        <w:rPr>
          <w:rFonts w:ascii="Arial" w:hAnsi="Arial" w:cs="Arial"/>
        </w:rPr>
        <w:fldChar w:fldCharType="separate"/>
      </w:r>
      <w:r>
        <w:rPr>
          <w:rFonts w:ascii="Arial" w:hAnsi="Arial" w:cs="Arial"/>
          <w:noProof/>
        </w:rPr>
        <w:t>4</w:t>
      </w:r>
      <w:r w:rsidRPr="003D2BFB">
        <w:rPr>
          <w:rFonts w:ascii="Arial" w:hAnsi="Arial" w:cs="Arial"/>
        </w:rPr>
        <w:fldChar w:fldCharType="end"/>
      </w:r>
      <w:r w:rsidRPr="003D2BFB">
        <w:rPr>
          <w:rFonts w:ascii="Arial" w:hAnsi="Arial" w:cs="Arial"/>
        </w:rPr>
        <w:t xml:space="preserve">: </w:t>
      </w:r>
      <w:r>
        <w:rPr>
          <w:rFonts w:ascii="Arial" w:hAnsi="Arial" w:cs="Arial"/>
        </w:rPr>
        <w:t>Introduce the following t</w:t>
      </w:r>
      <w:r w:rsidRPr="003D2BFB">
        <w:rPr>
          <w:rFonts w:ascii="Arial" w:hAnsi="Arial" w:cs="Arial"/>
        </w:rPr>
        <w:t xml:space="preserve">est cases </w:t>
      </w:r>
      <w:r>
        <w:rPr>
          <w:rFonts w:ascii="Arial" w:hAnsi="Arial" w:cs="Arial"/>
        </w:rPr>
        <w:t>of intra-frequency measurements for GEO, for NB-IoT and M1, respectively:</w:t>
      </w:r>
      <w:bookmarkEnd w:id="6"/>
      <w:r>
        <w:rPr>
          <w:rFonts w:ascii="Arial" w:hAnsi="Arial" w:cs="Arial"/>
        </w:rPr>
        <w:t xml:space="preserve"> </w:t>
      </w:r>
    </w:p>
    <w:p w14:paraId="060C4275" w14:textId="67917BBC" w:rsidR="00976B79" w:rsidRPr="007A2F03" w:rsidRDefault="007A2F03" w:rsidP="007A2F03">
      <w:pPr>
        <w:pStyle w:val="ListParagraph"/>
        <w:numPr>
          <w:ilvl w:val="0"/>
          <w:numId w:val="17"/>
        </w:numPr>
        <w:ind w:firstLineChars="0"/>
        <w:rPr>
          <w:rFonts w:ascii="Arial" w:eastAsia="SimSun" w:hAnsi="Arial" w:cs="Arial"/>
          <w:b/>
        </w:rPr>
      </w:pPr>
      <w:r w:rsidRPr="007A2F03">
        <w:rPr>
          <w:rFonts w:ascii="Arial" w:eastAsia="SimSun" w:hAnsi="Arial" w:cs="Arial"/>
          <w:b/>
        </w:rPr>
        <w:t xml:space="preserve">For NB-IoT: </w:t>
      </w:r>
    </w:p>
    <w:tbl>
      <w:tblPr>
        <w:tblStyle w:val="TableGrid"/>
        <w:tblW w:w="0" w:type="auto"/>
        <w:tblInd w:w="739" w:type="dxa"/>
        <w:tblLook w:val="04A0" w:firstRow="1" w:lastRow="0" w:firstColumn="1" w:lastColumn="0" w:noHBand="0" w:noVBand="1"/>
      </w:tblPr>
      <w:tblGrid>
        <w:gridCol w:w="1208"/>
        <w:gridCol w:w="1106"/>
        <w:gridCol w:w="4073"/>
        <w:gridCol w:w="696"/>
      </w:tblGrid>
      <w:tr w:rsidR="0099316F" w14:paraId="340DE99C" w14:textId="77777777" w:rsidTr="00041184">
        <w:trPr>
          <w:trHeight w:val="248"/>
        </w:trPr>
        <w:tc>
          <w:tcPr>
            <w:tcW w:w="1208" w:type="dxa"/>
            <w:vMerge w:val="restart"/>
          </w:tcPr>
          <w:p w14:paraId="0094D6B7" w14:textId="77777777" w:rsidR="0099316F" w:rsidRPr="000B3A03" w:rsidRDefault="0099316F" w:rsidP="00A066A6">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tcPr>
          <w:p w14:paraId="68FDCAEC" w14:textId="77777777" w:rsidR="0099316F" w:rsidRPr="000B3A03" w:rsidRDefault="0099316F" w:rsidP="00A066A6">
            <w:pPr>
              <w:rPr>
                <w:rFonts w:eastAsiaTheme="minorEastAsia"/>
                <w:sz w:val="16"/>
                <w:szCs w:val="16"/>
                <w:lang w:val="en-US" w:eastAsia="zh-CN"/>
              </w:rPr>
            </w:pPr>
            <w:r w:rsidRPr="000B3A03">
              <w:rPr>
                <w:sz w:val="16"/>
                <w:szCs w:val="16"/>
              </w:rPr>
              <w:t>Cell Re-Selection</w:t>
            </w:r>
          </w:p>
        </w:tc>
        <w:tc>
          <w:tcPr>
            <w:tcW w:w="4073" w:type="dxa"/>
          </w:tcPr>
          <w:p w14:paraId="6B5EB286" w14:textId="77777777" w:rsidR="0099316F" w:rsidRPr="00C56B8A" w:rsidRDefault="0099316F" w:rsidP="00A066A6">
            <w:pPr>
              <w:rPr>
                <w:sz w:val="16"/>
                <w:szCs w:val="16"/>
              </w:rPr>
            </w:pPr>
            <w:r w:rsidRPr="000B3A03">
              <w:rPr>
                <w:sz w:val="16"/>
                <w:szCs w:val="16"/>
              </w:rPr>
              <w:t>HD – FDD Intra frequency case for UE Category NB1 in normal coverage</w:t>
            </w:r>
          </w:p>
        </w:tc>
        <w:tc>
          <w:tcPr>
            <w:tcW w:w="696" w:type="dxa"/>
          </w:tcPr>
          <w:p w14:paraId="2AF3AE79" w14:textId="77777777" w:rsidR="0099316F" w:rsidRPr="00521337" w:rsidRDefault="0099316F" w:rsidP="00A066A6">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r>
      <w:tr w:rsidR="0099316F" w:rsidRPr="0067690F" w14:paraId="1CF867E1" w14:textId="77777777" w:rsidTr="00041184">
        <w:trPr>
          <w:trHeight w:val="457"/>
        </w:trPr>
        <w:tc>
          <w:tcPr>
            <w:tcW w:w="1208" w:type="dxa"/>
            <w:vMerge/>
          </w:tcPr>
          <w:p w14:paraId="2D2B8B8F" w14:textId="77777777" w:rsidR="0099316F" w:rsidRPr="000B3A03" w:rsidRDefault="0099316F" w:rsidP="00A066A6">
            <w:pPr>
              <w:rPr>
                <w:rFonts w:eastAsiaTheme="minorEastAsia"/>
                <w:sz w:val="16"/>
                <w:szCs w:val="16"/>
                <w:lang w:val="en-US" w:eastAsia="zh-CN"/>
              </w:rPr>
            </w:pPr>
          </w:p>
        </w:tc>
        <w:tc>
          <w:tcPr>
            <w:tcW w:w="1106" w:type="dxa"/>
            <w:vMerge/>
          </w:tcPr>
          <w:p w14:paraId="7A95BD58" w14:textId="77777777" w:rsidR="0099316F" w:rsidRPr="000B3A03" w:rsidRDefault="0099316F" w:rsidP="00A066A6">
            <w:pPr>
              <w:rPr>
                <w:sz w:val="16"/>
                <w:szCs w:val="16"/>
              </w:rPr>
            </w:pPr>
          </w:p>
        </w:tc>
        <w:tc>
          <w:tcPr>
            <w:tcW w:w="4073" w:type="dxa"/>
          </w:tcPr>
          <w:p w14:paraId="5D8DD559" w14:textId="77777777" w:rsidR="0099316F" w:rsidRPr="000B3A03" w:rsidRDefault="0099316F" w:rsidP="00A066A6">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96" w:type="dxa"/>
          </w:tcPr>
          <w:p w14:paraId="253EA541" w14:textId="77777777" w:rsidR="0099316F" w:rsidRPr="000B3A03" w:rsidRDefault="0099316F" w:rsidP="00A066A6">
            <w:pPr>
              <w:rPr>
                <w:sz w:val="16"/>
                <w:szCs w:val="16"/>
              </w:rPr>
            </w:pPr>
            <w:r>
              <w:rPr>
                <w:rFonts w:eastAsia="新細明體" w:hint="eastAsia"/>
                <w:sz w:val="16"/>
                <w:szCs w:val="16"/>
                <w:lang w:eastAsia="zh-TW"/>
              </w:rPr>
              <w:t>N</w:t>
            </w:r>
            <w:r>
              <w:rPr>
                <w:rFonts w:eastAsia="新細明體"/>
                <w:sz w:val="16"/>
                <w:szCs w:val="16"/>
                <w:lang w:eastAsia="zh-TW"/>
              </w:rPr>
              <w:t>B 1-3</w:t>
            </w:r>
          </w:p>
        </w:tc>
      </w:tr>
      <w:tr w:rsidR="0099316F" w:rsidRPr="0067690F" w14:paraId="57361720" w14:textId="77777777" w:rsidTr="00041184">
        <w:trPr>
          <w:trHeight w:val="457"/>
        </w:trPr>
        <w:tc>
          <w:tcPr>
            <w:tcW w:w="1208" w:type="dxa"/>
            <w:vMerge/>
          </w:tcPr>
          <w:p w14:paraId="00B5DE63" w14:textId="77777777" w:rsidR="0099316F" w:rsidRPr="000B3A03" w:rsidRDefault="0099316F" w:rsidP="00A066A6">
            <w:pPr>
              <w:rPr>
                <w:rFonts w:eastAsiaTheme="minorEastAsia"/>
                <w:sz w:val="16"/>
                <w:szCs w:val="16"/>
                <w:lang w:val="en-US" w:eastAsia="zh-CN"/>
              </w:rPr>
            </w:pPr>
          </w:p>
        </w:tc>
        <w:tc>
          <w:tcPr>
            <w:tcW w:w="1106" w:type="dxa"/>
            <w:vMerge/>
          </w:tcPr>
          <w:p w14:paraId="5C211F8E" w14:textId="77777777" w:rsidR="0099316F" w:rsidRPr="000B3A03" w:rsidRDefault="0099316F" w:rsidP="00A066A6">
            <w:pPr>
              <w:rPr>
                <w:sz w:val="16"/>
                <w:szCs w:val="16"/>
              </w:rPr>
            </w:pPr>
          </w:p>
        </w:tc>
        <w:tc>
          <w:tcPr>
            <w:tcW w:w="4073" w:type="dxa"/>
          </w:tcPr>
          <w:p w14:paraId="7DC46F23" w14:textId="77777777" w:rsidR="0099316F" w:rsidRPr="000B3A03" w:rsidRDefault="0099316F" w:rsidP="00A066A6">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96" w:type="dxa"/>
          </w:tcPr>
          <w:p w14:paraId="73E8943D" w14:textId="77777777" w:rsidR="0099316F" w:rsidRPr="000B3A03" w:rsidRDefault="0099316F" w:rsidP="00A066A6">
            <w:pPr>
              <w:rPr>
                <w:sz w:val="16"/>
                <w:szCs w:val="16"/>
              </w:rPr>
            </w:pPr>
            <w:r>
              <w:rPr>
                <w:rFonts w:eastAsia="新細明體" w:hint="eastAsia"/>
                <w:sz w:val="16"/>
                <w:szCs w:val="16"/>
                <w:lang w:eastAsia="zh-TW"/>
              </w:rPr>
              <w:t>N</w:t>
            </w:r>
            <w:r>
              <w:rPr>
                <w:rFonts w:eastAsia="新細明體"/>
                <w:sz w:val="16"/>
                <w:szCs w:val="16"/>
                <w:lang w:eastAsia="zh-TW"/>
              </w:rPr>
              <w:t>B 1-4</w:t>
            </w:r>
          </w:p>
        </w:tc>
      </w:tr>
      <w:tr w:rsidR="0099316F" w:rsidRPr="00A81438" w14:paraId="76D69496" w14:textId="77777777" w:rsidTr="00041184">
        <w:trPr>
          <w:trHeight w:val="54"/>
        </w:trPr>
        <w:tc>
          <w:tcPr>
            <w:tcW w:w="1208" w:type="dxa"/>
          </w:tcPr>
          <w:p w14:paraId="424AC2A4" w14:textId="77777777" w:rsidR="0099316F" w:rsidRPr="000B3A03" w:rsidRDefault="0099316F" w:rsidP="00A066A6">
            <w:pPr>
              <w:rPr>
                <w:rFonts w:eastAsiaTheme="minorEastAsia"/>
                <w:sz w:val="16"/>
                <w:szCs w:val="16"/>
                <w:lang w:val="en-US" w:eastAsia="zh-CN"/>
              </w:rPr>
            </w:pPr>
            <w:r w:rsidRPr="000B3A03">
              <w:rPr>
                <w:sz w:val="16"/>
                <w:szCs w:val="16"/>
              </w:rPr>
              <w:t>RRC Connection Control</w:t>
            </w:r>
          </w:p>
        </w:tc>
        <w:tc>
          <w:tcPr>
            <w:tcW w:w="1106" w:type="dxa"/>
          </w:tcPr>
          <w:p w14:paraId="4919D2E3" w14:textId="77777777" w:rsidR="0099316F" w:rsidRPr="000B3A03" w:rsidRDefault="0099316F" w:rsidP="00A066A6">
            <w:pPr>
              <w:rPr>
                <w:rFonts w:eastAsiaTheme="minorEastAsia"/>
                <w:sz w:val="16"/>
                <w:szCs w:val="16"/>
                <w:lang w:val="en-US" w:eastAsia="zh-CN"/>
              </w:rPr>
            </w:pPr>
            <w:r w:rsidRPr="000B3A03">
              <w:rPr>
                <w:snapToGrid w:val="0"/>
                <w:sz w:val="16"/>
                <w:szCs w:val="16"/>
              </w:rPr>
              <w:t>RRC Re-establishment</w:t>
            </w:r>
          </w:p>
        </w:tc>
        <w:tc>
          <w:tcPr>
            <w:tcW w:w="4073" w:type="dxa"/>
          </w:tcPr>
          <w:p w14:paraId="7EBC28FA" w14:textId="440631F6" w:rsidR="0099316F" w:rsidRPr="0099316F" w:rsidRDefault="0099316F" w:rsidP="00A066A6">
            <w:pPr>
              <w:rPr>
                <w:strike/>
                <w:snapToGrid w:val="0"/>
                <w:sz w:val="16"/>
                <w:szCs w:val="16"/>
                <w:lang w:eastAsia="zh-CN"/>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96" w:type="dxa"/>
          </w:tcPr>
          <w:p w14:paraId="137CE8D9" w14:textId="78167472" w:rsidR="0099316F" w:rsidRPr="0099316F" w:rsidRDefault="0099316F" w:rsidP="00A066A6">
            <w:pPr>
              <w:rPr>
                <w:strike/>
                <w:snapToGrid w:val="0"/>
                <w:sz w:val="16"/>
                <w:szCs w:val="16"/>
              </w:rPr>
            </w:pPr>
            <w:r>
              <w:rPr>
                <w:rFonts w:eastAsia="新細明體" w:hint="eastAsia"/>
                <w:sz w:val="16"/>
                <w:szCs w:val="16"/>
                <w:lang w:eastAsia="zh-TW"/>
              </w:rPr>
              <w:t>N</w:t>
            </w:r>
            <w:r>
              <w:rPr>
                <w:rFonts w:eastAsia="新細明體"/>
                <w:sz w:val="16"/>
                <w:szCs w:val="16"/>
                <w:lang w:eastAsia="zh-TW"/>
              </w:rPr>
              <w:t>B 2-2</w:t>
            </w:r>
          </w:p>
        </w:tc>
      </w:tr>
    </w:tbl>
    <w:tbl>
      <w:tblPr>
        <w:tblStyle w:val="TableGrid"/>
        <w:tblpPr w:leftFromText="180" w:rightFromText="180" w:vertAnchor="text" w:horzAnchor="page" w:tblpX="1867" w:tblpY="302"/>
        <w:tblW w:w="0" w:type="auto"/>
        <w:tblLook w:val="04A0" w:firstRow="1" w:lastRow="0" w:firstColumn="1" w:lastColumn="0" w:noHBand="0" w:noVBand="1"/>
      </w:tblPr>
      <w:tblGrid>
        <w:gridCol w:w="1263"/>
        <w:gridCol w:w="1096"/>
        <w:gridCol w:w="4023"/>
        <w:gridCol w:w="701"/>
      </w:tblGrid>
      <w:tr w:rsidR="00041184" w14:paraId="6DA7BBF5" w14:textId="77777777" w:rsidTr="00041184">
        <w:trPr>
          <w:trHeight w:val="459"/>
        </w:trPr>
        <w:tc>
          <w:tcPr>
            <w:tcW w:w="1263" w:type="dxa"/>
            <w:vMerge w:val="restart"/>
          </w:tcPr>
          <w:p w14:paraId="307EAB76" w14:textId="77777777" w:rsidR="00041184" w:rsidRPr="000B3A03" w:rsidRDefault="00041184" w:rsidP="00041184">
            <w:pPr>
              <w:rPr>
                <w:rFonts w:eastAsiaTheme="minorEastAsia"/>
                <w:sz w:val="16"/>
                <w:szCs w:val="16"/>
                <w:lang w:val="en-US" w:eastAsia="zh-CN"/>
              </w:rPr>
            </w:pPr>
            <w:r w:rsidRPr="000B3A03">
              <w:rPr>
                <w:rFonts w:eastAsiaTheme="minorEastAsia"/>
                <w:sz w:val="16"/>
                <w:szCs w:val="16"/>
                <w:lang w:val="en-US" w:eastAsia="zh-CN"/>
              </w:rPr>
              <w:t>RRC_IDLE state</w:t>
            </w:r>
          </w:p>
        </w:tc>
        <w:tc>
          <w:tcPr>
            <w:tcW w:w="1096" w:type="dxa"/>
            <w:vMerge w:val="restart"/>
          </w:tcPr>
          <w:p w14:paraId="0684A862" w14:textId="77777777" w:rsidR="00041184" w:rsidRPr="000B3A03" w:rsidRDefault="00041184" w:rsidP="00041184">
            <w:pPr>
              <w:rPr>
                <w:rFonts w:eastAsiaTheme="minorEastAsia"/>
                <w:sz w:val="16"/>
                <w:szCs w:val="16"/>
                <w:lang w:val="en-US" w:eastAsia="zh-CN"/>
              </w:rPr>
            </w:pPr>
            <w:r w:rsidRPr="000B3A03">
              <w:rPr>
                <w:sz w:val="16"/>
                <w:szCs w:val="16"/>
              </w:rPr>
              <w:t>Cell Re-Selection</w:t>
            </w:r>
          </w:p>
        </w:tc>
        <w:tc>
          <w:tcPr>
            <w:tcW w:w="4023" w:type="dxa"/>
          </w:tcPr>
          <w:p w14:paraId="2A3C7B43" w14:textId="77777777" w:rsidR="00041184" w:rsidRPr="000B3A03" w:rsidRDefault="00041184" w:rsidP="00041184">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1" w:type="dxa"/>
          </w:tcPr>
          <w:p w14:paraId="6D519400" w14:textId="77777777" w:rsidR="00041184" w:rsidRPr="002A61CF" w:rsidRDefault="00041184" w:rsidP="00041184">
            <w:pPr>
              <w:rPr>
                <w:sz w:val="16"/>
                <w:szCs w:val="16"/>
              </w:rPr>
            </w:pPr>
            <w:r>
              <w:rPr>
                <w:rFonts w:eastAsia="新細明體"/>
                <w:sz w:val="16"/>
                <w:szCs w:val="16"/>
                <w:lang w:eastAsia="zh-TW"/>
              </w:rPr>
              <w:t>M1 1-1</w:t>
            </w:r>
          </w:p>
        </w:tc>
      </w:tr>
      <w:tr w:rsidR="00041184" w14:paraId="13173103" w14:textId="77777777" w:rsidTr="00041184">
        <w:trPr>
          <w:trHeight w:val="125"/>
        </w:trPr>
        <w:tc>
          <w:tcPr>
            <w:tcW w:w="1263" w:type="dxa"/>
            <w:vMerge/>
          </w:tcPr>
          <w:p w14:paraId="56E29EDD" w14:textId="77777777" w:rsidR="00041184" w:rsidRPr="000B3A03" w:rsidRDefault="00041184" w:rsidP="00041184">
            <w:pPr>
              <w:rPr>
                <w:rFonts w:eastAsiaTheme="minorEastAsia"/>
                <w:sz w:val="16"/>
                <w:szCs w:val="16"/>
                <w:lang w:val="en-US" w:eastAsia="zh-CN"/>
              </w:rPr>
            </w:pPr>
          </w:p>
        </w:tc>
        <w:tc>
          <w:tcPr>
            <w:tcW w:w="1096" w:type="dxa"/>
            <w:vMerge/>
          </w:tcPr>
          <w:p w14:paraId="4EF55DAD" w14:textId="77777777" w:rsidR="00041184" w:rsidRPr="000B3A03" w:rsidRDefault="00041184" w:rsidP="00041184">
            <w:pPr>
              <w:rPr>
                <w:sz w:val="16"/>
                <w:szCs w:val="16"/>
              </w:rPr>
            </w:pPr>
          </w:p>
        </w:tc>
        <w:tc>
          <w:tcPr>
            <w:tcW w:w="4023" w:type="dxa"/>
          </w:tcPr>
          <w:p w14:paraId="36178413" w14:textId="77777777" w:rsidR="00041184" w:rsidRPr="002A61CF" w:rsidRDefault="00041184" w:rsidP="00041184">
            <w:pPr>
              <w:rPr>
                <w:sz w:val="16"/>
                <w:szCs w:val="16"/>
              </w:rPr>
            </w:pPr>
            <w:r w:rsidRPr="002A61CF">
              <w:rPr>
                <w:sz w:val="16"/>
                <w:szCs w:val="16"/>
              </w:rPr>
              <w:t>E-UTRAN HD – FDD Intra frequency case for Cat-M1 UE in normal coverage</w:t>
            </w:r>
          </w:p>
        </w:tc>
        <w:tc>
          <w:tcPr>
            <w:tcW w:w="701" w:type="dxa"/>
          </w:tcPr>
          <w:p w14:paraId="3F3298A8" w14:textId="77777777" w:rsidR="00041184" w:rsidRPr="002A61CF" w:rsidRDefault="00041184" w:rsidP="00041184">
            <w:pPr>
              <w:rPr>
                <w:sz w:val="16"/>
                <w:szCs w:val="16"/>
              </w:rPr>
            </w:pPr>
            <w:r>
              <w:rPr>
                <w:rFonts w:eastAsia="新細明體"/>
                <w:sz w:val="16"/>
                <w:szCs w:val="16"/>
                <w:lang w:eastAsia="zh-TW"/>
              </w:rPr>
              <w:t>M1 1-2</w:t>
            </w:r>
          </w:p>
        </w:tc>
      </w:tr>
      <w:tr w:rsidR="00041184" w14:paraId="24B893C4" w14:textId="77777777" w:rsidTr="00041184">
        <w:trPr>
          <w:trHeight w:val="457"/>
        </w:trPr>
        <w:tc>
          <w:tcPr>
            <w:tcW w:w="1263" w:type="dxa"/>
            <w:vMerge/>
          </w:tcPr>
          <w:p w14:paraId="7BBFFA9B" w14:textId="77777777" w:rsidR="00041184" w:rsidRPr="000B3A03" w:rsidRDefault="00041184" w:rsidP="00041184">
            <w:pPr>
              <w:rPr>
                <w:rFonts w:eastAsiaTheme="minorEastAsia"/>
                <w:sz w:val="16"/>
                <w:szCs w:val="16"/>
                <w:lang w:val="en-US" w:eastAsia="zh-CN"/>
              </w:rPr>
            </w:pPr>
          </w:p>
        </w:tc>
        <w:tc>
          <w:tcPr>
            <w:tcW w:w="1096" w:type="dxa"/>
            <w:vMerge/>
          </w:tcPr>
          <w:p w14:paraId="0EFE0732" w14:textId="77777777" w:rsidR="00041184" w:rsidRPr="000B3A03" w:rsidRDefault="00041184" w:rsidP="00041184">
            <w:pPr>
              <w:rPr>
                <w:sz w:val="16"/>
                <w:szCs w:val="16"/>
              </w:rPr>
            </w:pPr>
          </w:p>
        </w:tc>
        <w:tc>
          <w:tcPr>
            <w:tcW w:w="4023" w:type="dxa"/>
          </w:tcPr>
          <w:p w14:paraId="4266B872" w14:textId="77777777" w:rsidR="00041184" w:rsidRPr="002A61CF" w:rsidRDefault="00041184" w:rsidP="00041184">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1" w:type="dxa"/>
          </w:tcPr>
          <w:p w14:paraId="79BEB87D" w14:textId="77777777" w:rsidR="00041184" w:rsidRPr="00521337" w:rsidRDefault="00041184" w:rsidP="00041184">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r>
      <w:tr w:rsidR="00041184" w14:paraId="31CA2668" w14:textId="77777777" w:rsidTr="00041184">
        <w:trPr>
          <w:trHeight w:val="457"/>
        </w:trPr>
        <w:tc>
          <w:tcPr>
            <w:tcW w:w="1263" w:type="dxa"/>
            <w:vMerge/>
          </w:tcPr>
          <w:p w14:paraId="58097F86" w14:textId="77777777" w:rsidR="00041184" w:rsidRPr="000B3A03" w:rsidRDefault="00041184" w:rsidP="00041184">
            <w:pPr>
              <w:rPr>
                <w:rFonts w:eastAsiaTheme="minorEastAsia"/>
                <w:sz w:val="16"/>
                <w:szCs w:val="16"/>
                <w:lang w:val="en-US" w:eastAsia="zh-CN"/>
              </w:rPr>
            </w:pPr>
          </w:p>
        </w:tc>
        <w:tc>
          <w:tcPr>
            <w:tcW w:w="1096" w:type="dxa"/>
            <w:vMerge/>
          </w:tcPr>
          <w:p w14:paraId="7F6E0FCB" w14:textId="77777777" w:rsidR="00041184" w:rsidRPr="000B3A03" w:rsidRDefault="00041184" w:rsidP="00041184">
            <w:pPr>
              <w:rPr>
                <w:sz w:val="16"/>
                <w:szCs w:val="16"/>
              </w:rPr>
            </w:pPr>
          </w:p>
        </w:tc>
        <w:tc>
          <w:tcPr>
            <w:tcW w:w="4023" w:type="dxa"/>
          </w:tcPr>
          <w:p w14:paraId="3C60CFF7" w14:textId="77777777" w:rsidR="00041184" w:rsidRPr="002A61CF" w:rsidRDefault="00041184" w:rsidP="00041184">
            <w:pPr>
              <w:rPr>
                <w:sz w:val="16"/>
                <w:szCs w:val="16"/>
              </w:rPr>
            </w:pPr>
            <w:r w:rsidRPr="002A61CF">
              <w:rPr>
                <w:sz w:val="16"/>
                <w:szCs w:val="16"/>
              </w:rPr>
              <w:t>E-UTRAN HD – FDD Intra frequency case for Cat-M1 UE in normal coverage with serving cell RRM measurement relaxation</w:t>
            </w:r>
          </w:p>
        </w:tc>
        <w:tc>
          <w:tcPr>
            <w:tcW w:w="701" w:type="dxa"/>
          </w:tcPr>
          <w:p w14:paraId="6916FBE3" w14:textId="77777777" w:rsidR="00041184" w:rsidRPr="00521337" w:rsidRDefault="00041184" w:rsidP="00041184">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r>
      <w:tr w:rsidR="00041184" w14:paraId="6E051BDF" w14:textId="77777777" w:rsidTr="00041184">
        <w:tc>
          <w:tcPr>
            <w:tcW w:w="1263" w:type="dxa"/>
            <w:vMerge w:val="restart"/>
          </w:tcPr>
          <w:p w14:paraId="33302FAF" w14:textId="77777777" w:rsidR="00041184" w:rsidRPr="000B3A03" w:rsidRDefault="00041184" w:rsidP="00041184">
            <w:pPr>
              <w:rPr>
                <w:rFonts w:eastAsiaTheme="minorEastAsia"/>
                <w:sz w:val="16"/>
                <w:szCs w:val="16"/>
                <w:lang w:val="en-US" w:eastAsia="zh-CN"/>
              </w:rPr>
            </w:pPr>
            <w:r w:rsidRPr="000B3A03">
              <w:rPr>
                <w:sz w:val="16"/>
                <w:szCs w:val="16"/>
              </w:rPr>
              <w:t>RRC Connection Control</w:t>
            </w:r>
          </w:p>
        </w:tc>
        <w:tc>
          <w:tcPr>
            <w:tcW w:w="1096" w:type="dxa"/>
            <w:vMerge w:val="restart"/>
          </w:tcPr>
          <w:p w14:paraId="5AA2267D" w14:textId="77777777" w:rsidR="00041184" w:rsidRPr="000B3A03" w:rsidRDefault="00041184" w:rsidP="00041184">
            <w:pPr>
              <w:rPr>
                <w:rFonts w:eastAsiaTheme="minorEastAsia"/>
                <w:sz w:val="16"/>
                <w:szCs w:val="16"/>
                <w:lang w:val="en-US" w:eastAsia="zh-CN"/>
              </w:rPr>
            </w:pPr>
            <w:r w:rsidRPr="000B3A03">
              <w:rPr>
                <w:snapToGrid w:val="0"/>
                <w:sz w:val="16"/>
                <w:szCs w:val="16"/>
              </w:rPr>
              <w:t>RRC Re-establishment</w:t>
            </w:r>
          </w:p>
        </w:tc>
        <w:tc>
          <w:tcPr>
            <w:tcW w:w="4023" w:type="dxa"/>
          </w:tcPr>
          <w:p w14:paraId="19AB620E" w14:textId="77777777" w:rsidR="00041184" w:rsidRPr="000B3A03" w:rsidRDefault="00041184" w:rsidP="00041184">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c>
          <w:tcPr>
            <w:tcW w:w="701" w:type="dxa"/>
          </w:tcPr>
          <w:p w14:paraId="5EDD61FD" w14:textId="77777777" w:rsidR="00041184" w:rsidRPr="00B92766" w:rsidRDefault="00041184" w:rsidP="00041184">
            <w:pPr>
              <w:rPr>
                <w:rFonts w:eastAsiaTheme="minorEastAsia"/>
                <w:sz w:val="16"/>
                <w:szCs w:val="16"/>
                <w:lang w:val="en-US" w:eastAsia="zh-CN"/>
              </w:rPr>
            </w:pPr>
            <w:r>
              <w:rPr>
                <w:rFonts w:eastAsia="新細明體"/>
                <w:sz w:val="16"/>
                <w:szCs w:val="16"/>
                <w:lang w:eastAsia="zh-TW"/>
              </w:rPr>
              <w:t>M1 3-1</w:t>
            </w:r>
          </w:p>
        </w:tc>
      </w:tr>
      <w:tr w:rsidR="00041184" w14:paraId="07A542E4" w14:textId="77777777" w:rsidTr="00041184">
        <w:trPr>
          <w:trHeight w:val="54"/>
        </w:trPr>
        <w:tc>
          <w:tcPr>
            <w:tcW w:w="1263" w:type="dxa"/>
            <w:vMerge/>
          </w:tcPr>
          <w:p w14:paraId="550B289B" w14:textId="77777777" w:rsidR="00041184" w:rsidRPr="000B3A03" w:rsidRDefault="00041184" w:rsidP="00041184">
            <w:pPr>
              <w:rPr>
                <w:sz w:val="16"/>
                <w:szCs w:val="16"/>
              </w:rPr>
            </w:pPr>
          </w:p>
        </w:tc>
        <w:tc>
          <w:tcPr>
            <w:tcW w:w="1096" w:type="dxa"/>
            <w:vMerge/>
          </w:tcPr>
          <w:p w14:paraId="2821A00C" w14:textId="77777777" w:rsidR="00041184" w:rsidRPr="000B3A03" w:rsidRDefault="00041184" w:rsidP="00041184">
            <w:pPr>
              <w:rPr>
                <w:snapToGrid w:val="0"/>
                <w:sz w:val="16"/>
                <w:szCs w:val="16"/>
              </w:rPr>
            </w:pPr>
          </w:p>
        </w:tc>
        <w:tc>
          <w:tcPr>
            <w:tcW w:w="4023" w:type="dxa"/>
          </w:tcPr>
          <w:p w14:paraId="2D05A8C1" w14:textId="77777777" w:rsidR="00041184" w:rsidRPr="00B92766" w:rsidRDefault="00041184" w:rsidP="00041184">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c>
          <w:tcPr>
            <w:tcW w:w="701" w:type="dxa"/>
          </w:tcPr>
          <w:p w14:paraId="4D27B706" w14:textId="77777777" w:rsidR="00041184" w:rsidRPr="00B92766" w:rsidRDefault="00041184" w:rsidP="00041184">
            <w:pPr>
              <w:rPr>
                <w:rFonts w:eastAsiaTheme="minorEastAsia"/>
                <w:sz w:val="16"/>
                <w:szCs w:val="16"/>
                <w:lang w:val="en-US" w:eastAsia="zh-CN"/>
              </w:rPr>
            </w:pPr>
            <w:r>
              <w:rPr>
                <w:rFonts w:eastAsia="新細明體"/>
                <w:sz w:val="16"/>
                <w:szCs w:val="16"/>
                <w:lang w:eastAsia="zh-TW"/>
              </w:rPr>
              <w:t>M1 3-2</w:t>
            </w:r>
          </w:p>
        </w:tc>
      </w:tr>
    </w:tbl>
    <w:p w14:paraId="786DB6E7" w14:textId="045CE5CD" w:rsidR="005F7C71" w:rsidRPr="007A2F03" w:rsidRDefault="007A2F03" w:rsidP="005F7C71">
      <w:pPr>
        <w:pStyle w:val="ListParagraph"/>
        <w:numPr>
          <w:ilvl w:val="0"/>
          <w:numId w:val="17"/>
        </w:numPr>
        <w:ind w:firstLineChars="0"/>
        <w:rPr>
          <w:rFonts w:ascii="Arial" w:eastAsia="SimSun" w:hAnsi="Arial" w:cs="Arial"/>
          <w:b/>
        </w:rPr>
      </w:pPr>
      <w:r w:rsidRPr="007A2F03">
        <w:rPr>
          <w:rFonts w:ascii="Arial" w:eastAsia="SimSun" w:hAnsi="Arial" w:cs="Arial"/>
          <w:b/>
        </w:rPr>
        <w:t xml:space="preserve">For </w:t>
      </w:r>
      <w:r>
        <w:rPr>
          <w:rFonts w:ascii="Arial" w:eastAsia="SimSun" w:hAnsi="Arial" w:cs="Arial"/>
          <w:b/>
        </w:rPr>
        <w:t>M1</w:t>
      </w:r>
      <w:r w:rsidRPr="007A2F03">
        <w:rPr>
          <w:rFonts w:ascii="Arial" w:eastAsia="SimSun" w:hAnsi="Arial" w:cs="Arial"/>
          <w:b/>
        </w:rPr>
        <w:t xml:space="preserve">: </w:t>
      </w:r>
    </w:p>
    <w:p w14:paraId="5E4058EB" w14:textId="77777777" w:rsidR="0099316F" w:rsidRDefault="0099316F" w:rsidP="005F7C71"/>
    <w:p w14:paraId="6DC9E6EE" w14:textId="77777777" w:rsidR="005F7C71" w:rsidRPr="005F7C71" w:rsidRDefault="005F7C71" w:rsidP="005F7C71"/>
    <w:p w14:paraId="67452C67" w14:textId="67DB7D0C" w:rsidR="004F11F3" w:rsidRPr="005C00EC" w:rsidRDefault="004F11F3" w:rsidP="004F11F3">
      <w:pPr>
        <w:pStyle w:val="Heading1"/>
        <w:rPr>
          <w:rFonts w:cs="Arial"/>
          <w:lang w:eastAsia="ja-JP"/>
        </w:rPr>
      </w:pPr>
      <w:r w:rsidRPr="005C00EC">
        <w:rPr>
          <w:rFonts w:cs="Arial"/>
          <w:lang w:eastAsia="ja-JP"/>
        </w:rPr>
        <w:t>Summary</w:t>
      </w:r>
    </w:p>
    <w:p w14:paraId="57B6A6A8" w14:textId="0FBD4D9E" w:rsidR="004F11F3" w:rsidRPr="005C00EC" w:rsidRDefault="004F11F3" w:rsidP="004F11F3">
      <w:pPr>
        <w:rPr>
          <w:rFonts w:ascii="Arial" w:eastAsia="Batang" w:hAnsi="Arial" w:cs="Arial"/>
          <w:lang w:eastAsia="ko-KR"/>
        </w:rPr>
      </w:pPr>
      <w:r w:rsidRPr="005C00EC">
        <w:rPr>
          <w:rFonts w:ascii="Arial" w:eastAsia="Batang" w:hAnsi="Arial" w:cs="Arial" w:hint="eastAsia"/>
          <w:lang w:eastAsia="ko-KR"/>
        </w:rPr>
        <w:t>T</w:t>
      </w:r>
      <w:r w:rsidRPr="005C00EC">
        <w:rPr>
          <w:rFonts w:ascii="Arial" w:eastAsia="Batang" w:hAnsi="Arial" w:cs="Arial"/>
          <w:lang w:eastAsia="ko-KR"/>
        </w:rPr>
        <w:t xml:space="preserve">he </w:t>
      </w:r>
      <w:r w:rsidR="00FB02C3" w:rsidRPr="005C00EC">
        <w:rPr>
          <w:rFonts w:ascii="Arial" w:eastAsia="Batang" w:hAnsi="Arial" w:cs="Arial"/>
          <w:lang w:eastAsia="ko-KR"/>
        </w:rPr>
        <w:t>observations</w:t>
      </w:r>
      <w:r w:rsidRPr="005C00EC">
        <w:rPr>
          <w:rFonts w:ascii="Arial" w:eastAsia="Batang" w:hAnsi="Arial" w:cs="Arial"/>
          <w:lang w:eastAsia="ko-KR"/>
        </w:rPr>
        <w:t xml:space="preserve"> and proposals in this contribution are </w:t>
      </w:r>
      <w:r w:rsidR="00FB02C3" w:rsidRPr="005C00EC">
        <w:rPr>
          <w:rFonts w:ascii="Arial" w:eastAsia="Batang" w:hAnsi="Arial" w:cs="Arial"/>
          <w:lang w:eastAsia="ko-KR"/>
        </w:rPr>
        <w:t>summarized</w:t>
      </w:r>
      <w:r w:rsidRPr="005C00EC">
        <w:rPr>
          <w:rFonts w:ascii="Arial" w:eastAsia="Batang" w:hAnsi="Arial" w:cs="Arial"/>
          <w:lang w:eastAsia="ko-KR"/>
        </w:rPr>
        <w:t>:</w:t>
      </w:r>
    </w:p>
    <w:p w14:paraId="1DD78E9D" w14:textId="3270C4EB" w:rsidR="005C00EC" w:rsidRPr="005C00EC" w:rsidRDefault="005C00EC" w:rsidP="004F11F3">
      <w:pPr>
        <w:rPr>
          <w:rFonts w:ascii="Arial" w:eastAsia="Batang" w:hAnsi="Arial" w:cs="Arial"/>
          <w:b/>
          <w:bCs/>
          <w:lang w:eastAsia="ko-KR"/>
        </w:rPr>
      </w:pPr>
      <w:r w:rsidRPr="005C00EC">
        <w:rPr>
          <w:rFonts w:ascii="Arial" w:eastAsia="Batang" w:hAnsi="Arial" w:cs="Arial"/>
          <w:b/>
          <w:bCs/>
          <w:lang w:eastAsia="ko-KR"/>
        </w:rPr>
        <w:fldChar w:fldCharType="begin"/>
      </w:r>
      <w:r w:rsidRPr="005C00EC">
        <w:rPr>
          <w:rFonts w:ascii="Arial" w:eastAsia="Batang" w:hAnsi="Arial" w:cs="Arial"/>
          <w:b/>
          <w:bCs/>
          <w:lang w:eastAsia="ko-KR"/>
        </w:rPr>
        <w:instrText xml:space="preserve"> REF _Ref131882709 \h  \* MERGEFORMAT </w:instrText>
      </w:r>
      <w:r w:rsidRPr="005C00EC">
        <w:rPr>
          <w:rFonts w:ascii="Arial" w:eastAsia="Batang" w:hAnsi="Arial" w:cs="Arial"/>
          <w:b/>
          <w:bCs/>
          <w:lang w:eastAsia="ko-KR"/>
        </w:rPr>
      </w:r>
      <w:r w:rsidRPr="005C00EC">
        <w:rPr>
          <w:rFonts w:ascii="Arial" w:eastAsia="Batang" w:hAnsi="Arial" w:cs="Arial"/>
          <w:b/>
          <w:bCs/>
          <w:lang w:eastAsia="ko-KR"/>
        </w:rPr>
        <w:fldChar w:fldCharType="separate"/>
      </w:r>
      <w:r w:rsidR="00041184" w:rsidRPr="00041184">
        <w:rPr>
          <w:rFonts w:ascii="Arial" w:hAnsi="Arial" w:cs="Arial"/>
          <w:b/>
          <w:bCs/>
        </w:rPr>
        <w:t xml:space="preserve">Proposal </w:t>
      </w:r>
      <w:r w:rsidR="00041184" w:rsidRPr="00041184">
        <w:rPr>
          <w:rFonts w:ascii="Arial" w:hAnsi="Arial" w:cs="Arial"/>
          <w:b/>
          <w:bCs/>
          <w:noProof/>
        </w:rPr>
        <w:t>1</w:t>
      </w:r>
      <w:r w:rsidR="00041184" w:rsidRPr="00041184">
        <w:rPr>
          <w:rFonts w:ascii="Arial" w:hAnsi="Arial" w:cs="Arial"/>
          <w:b/>
          <w:bCs/>
        </w:rPr>
        <w:t>: For NB-IoT LEO, legacy PHR table can be reused for IoT NTN.</w:t>
      </w:r>
      <w:r w:rsidRPr="005C00EC">
        <w:rPr>
          <w:rFonts w:ascii="Arial" w:eastAsia="Batang" w:hAnsi="Arial" w:cs="Arial"/>
          <w:b/>
          <w:bCs/>
          <w:lang w:eastAsia="ko-KR"/>
        </w:rPr>
        <w:fldChar w:fldCharType="end"/>
      </w:r>
    </w:p>
    <w:p w14:paraId="2768174F" w14:textId="1D46AD27" w:rsidR="005C00EC" w:rsidRPr="005C00EC" w:rsidRDefault="005C00EC" w:rsidP="004F11F3">
      <w:pPr>
        <w:rPr>
          <w:rFonts w:ascii="Arial" w:eastAsia="Batang" w:hAnsi="Arial" w:cs="Arial"/>
          <w:b/>
          <w:bCs/>
          <w:lang w:eastAsia="ko-KR"/>
        </w:rPr>
      </w:pPr>
      <w:r w:rsidRPr="005C00EC">
        <w:rPr>
          <w:rFonts w:ascii="Arial" w:eastAsia="Batang" w:hAnsi="Arial" w:cs="Arial"/>
          <w:b/>
          <w:bCs/>
          <w:lang w:eastAsia="ko-KR"/>
        </w:rPr>
        <w:fldChar w:fldCharType="begin"/>
      </w:r>
      <w:r w:rsidRPr="005C00EC">
        <w:rPr>
          <w:rFonts w:ascii="Arial" w:eastAsia="Batang" w:hAnsi="Arial" w:cs="Arial"/>
          <w:b/>
          <w:bCs/>
          <w:lang w:eastAsia="ko-KR"/>
        </w:rPr>
        <w:instrText xml:space="preserve"> REF _Ref131882713 \h  \* MERGEFORMAT </w:instrText>
      </w:r>
      <w:r w:rsidRPr="005C00EC">
        <w:rPr>
          <w:rFonts w:ascii="Arial" w:eastAsia="Batang" w:hAnsi="Arial" w:cs="Arial"/>
          <w:b/>
          <w:bCs/>
          <w:lang w:eastAsia="ko-KR"/>
        </w:rPr>
      </w:r>
      <w:r w:rsidRPr="005C00EC">
        <w:rPr>
          <w:rFonts w:ascii="Arial" w:eastAsia="Batang" w:hAnsi="Arial" w:cs="Arial"/>
          <w:b/>
          <w:bCs/>
          <w:lang w:eastAsia="ko-KR"/>
        </w:rPr>
        <w:fldChar w:fldCharType="separate"/>
      </w:r>
      <w:r w:rsidR="00041184" w:rsidRPr="00041184">
        <w:rPr>
          <w:rFonts w:ascii="Arial" w:hAnsi="Arial" w:cs="Arial"/>
          <w:b/>
          <w:bCs/>
        </w:rPr>
        <w:t xml:space="preserve">Proposal </w:t>
      </w:r>
      <w:r w:rsidR="00041184" w:rsidRPr="00041184">
        <w:rPr>
          <w:rFonts w:ascii="Arial" w:hAnsi="Arial" w:cs="Arial"/>
          <w:b/>
          <w:bCs/>
          <w:noProof/>
        </w:rPr>
        <w:t>2</w:t>
      </w:r>
      <w:r w:rsidR="00041184" w:rsidRPr="00041184">
        <w:rPr>
          <w:rFonts w:ascii="Arial" w:hAnsi="Arial" w:cs="Arial"/>
          <w:b/>
          <w:bCs/>
        </w:rPr>
        <w:t>: The legacy RSRP/RSRP/NRSRP/NRSRQ measurement report mapping can be reused for IoT NTN.</w:t>
      </w:r>
      <w:r w:rsidRPr="005C00EC">
        <w:rPr>
          <w:rFonts w:ascii="Arial" w:eastAsia="Batang" w:hAnsi="Arial" w:cs="Arial"/>
          <w:b/>
          <w:bCs/>
          <w:lang w:eastAsia="ko-KR"/>
        </w:rPr>
        <w:fldChar w:fldCharType="end"/>
      </w:r>
    </w:p>
    <w:p w14:paraId="12C2B7DF" w14:textId="491647BB" w:rsidR="005C00EC" w:rsidRPr="005C00EC" w:rsidRDefault="005C00EC" w:rsidP="004F11F3">
      <w:pPr>
        <w:rPr>
          <w:rFonts w:ascii="Arial" w:eastAsia="Batang" w:hAnsi="Arial" w:cs="Arial"/>
          <w:b/>
          <w:bCs/>
          <w:lang w:eastAsia="ko-KR"/>
        </w:rPr>
      </w:pPr>
      <w:r w:rsidRPr="005C00EC">
        <w:rPr>
          <w:rFonts w:ascii="Arial" w:eastAsia="Batang" w:hAnsi="Arial" w:cs="Arial"/>
          <w:b/>
          <w:bCs/>
          <w:lang w:eastAsia="ko-KR"/>
        </w:rPr>
        <w:fldChar w:fldCharType="begin"/>
      </w:r>
      <w:r w:rsidRPr="005C00EC">
        <w:rPr>
          <w:rFonts w:ascii="Arial" w:eastAsia="Batang" w:hAnsi="Arial" w:cs="Arial"/>
          <w:b/>
          <w:bCs/>
          <w:lang w:eastAsia="ko-KR"/>
        </w:rPr>
        <w:instrText xml:space="preserve"> REF _Ref131882715 \h  \* MERGEFORMAT </w:instrText>
      </w:r>
      <w:r w:rsidRPr="005C00EC">
        <w:rPr>
          <w:rFonts w:ascii="Arial" w:eastAsia="Batang" w:hAnsi="Arial" w:cs="Arial"/>
          <w:b/>
          <w:bCs/>
          <w:lang w:eastAsia="ko-KR"/>
        </w:rPr>
      </w:r>
      <w:r w:rsidRPr="005C00EC">
        <w:rPr>
          <w:rFonts w:ascii="Arial" w:eastAsia="Batang" w:hAnsi="Arial" w:cs="Arial"/>
          <w:b/>
          <w:bCs/>
          <w:lang w:eastAsia="ko-KR"/>
        </w:rPr>
        <w:fldChar w:fldCharType="separate"/>
      </w:r>
      <w:r w:rsidR="00041184" w:rsidRPr="00041184">
        <w:rPr>
          <w:rFonts w:ascii="Arial" w:hAnsi="Arial" w:cs="Arial"/>
          <w:b/>
          <w:bCs/>
        </w:rPr>
        <w:t xml:space="preserve">Proposal </w:t>
      </w:r>
      <w:r w:rsidR="00041184" w:rsidRPr="00041184">
        <w:rPr>
          <w:rFonts w:ascii="Arial" w:hAnsi="Arial" w:cs="Arial"/>
          <w:b/>
          <w:bCs/>
          <w:noProof/>
        </w:rPr>
        <w:t>3</w:t>
      </w:r>
      <w:r w:rsidR="00041184" w:rsidRPr="00041184">
        <w:rPr>
          <w:rFonts w:ascii="Arial" w:hAnsi="Arial" w:cs="Arial"/>
          <w:b/>
          <w:bCs/>
        </w:rPr>
        <w:t>: Introduce the following clauses for regarding the measurement accuracy for IoT NTN:</w:t>
      </w:r>
      <w:r w:rsidRPr="005C00EC">
        <w:rPr>
          <w:rFonts w:ascii="Arial" w:eastAsia="Batang" w:hAnsi="Arial" w:cs="Arial"/>
          <w:b/>
          <w:bCs/>
          <w:lang w:eastAsia="ko-KR"/>
        </w:rPr>
        <w:fldChar w:fldCharType="end"/>
      </w:r>
    </w:p>
    <w:p w14:paraId="4477CFF5" w14:textId="77777777" w:rsidR="005C00EC" w:rsidRPr="006A7896" w:rsidRDefault="005C00EC" w:rsidP="005C00EC">
      <w:pPr>
        <w:numPr>
          <w:ilvl w:val="0"/>
          <w:numId w:val="16"/>
        </w:numPr>
        <w:spacing w:after="0"/>
        <w:textAlignment w:val="center"/>
        <w:rPr>
          <w:rFonts w:ascii="Arial" w:hAnsi="Arial" w:cs="Arial"/>
          <w:b/>
        </w:rPr>
      </w:pPr>
      <w:r w:rsidRPr="006A7896">
        <w:rPr>
          <w:rFonts w:ascii="Arial" w:hAnsi="Arial" w:cs="Arial"/>
          <w:b/>
        </w:rPr>
        <w:lastRenderedPageBreak/>
        <w:t>9.1.21A        Measurement accuracy for UE category M1 for satellite access</w:t>
      </w:r>
    </w:p>
    <w:p w14:paraId="4371D60D" w14:textId="77777777" w:rsidR="005C00EC" w:rsidRPr="006A7896" w:rsidRDefault="005C00EC" w:rsidP="005C00EC">
      <w:pPr>
        <w:numPr>
          <w:ilvl w:val="0"/>
          <w:numId w:val="16"/>
        </w:numPr>
        <w:spacing w:after="0"/>
        <w:textAlignment w:val="center"/>
        <w:rPr>
          <w:rFonts w:ascii="Arial" w:hAnsi="Arial" w:cs="Arial"/>
          <w:b/>
        </w:rPr>
      </w:pPr>
      <w:r w:rsidRPr="006A7896">
        <w:rPr>
          <w:rFonts w:ascii="Arial" w:hAnsi="Arial" w:cs="Arial"/>
          <w:b/>
        </w:rPr>
        <w:t>9.1.22A        Measurement accuracy for UE Category NB1 for satellite access</w:t>
      </w:r>
    </w:p>
    <w:p w14:paraId="43D44CC7" w14:textId="044BBF3F" w:rsidR="005C00EC" w:rsidRDefault="005C00EC" w:rsidP="004F11F3">
      <w:pPr>
        <w:numPr>
          <w:ilvl w:val="0"/>
          <w:numId w:val="16"/>
        </w:numPr>
        <w:spacing w:after="0"/>
        <w:textAlignment w:val="center"/>
        <w:rPr>
          <w:rFonts w:ascii="Arial" w:hAnsi="Arial" w:cs="Arial"/>
          <w:b/>
        </w:rPr>
      </w:pPr>
      <w:r w:rsidRPr="006A7896">
        <w:rPr>
          <w:rFonts w:ascii="Arial" w:hAnsi="Arial" w:cs="Arial"/>
          <w:b/>
        </w:rPr>
        <w:t>9.1.23A        Power Headroom for UE Category NB1 for Satellite Access</w:t>
      </w:r>
    </w:p>
    <w:p w14:paraId="68F47B86" w14:textId="77777777" w:rsidR="00041184" w:rsidRDefault="00041184" w:rsidP="00041184">
      <w:pPr>
        <w:spacing w:after="0"/>
        <w:ind w:left="360"/>
        <w:textAlignment w:val="center"/>
        <w:rPr>
          <w:rFonts w:ascii="Arial" w:hAnsi="Arial" w:cs="Arial"/>
          <w:b/>
        </w:rPr>
      </w:pPr>
    </w:p>
    <w:p w14:paraId="259B20A1" w14:textId="21B5560D" w:rsidR="00041184" w:rsidRDefault="00041184" w:rsidP="00041184">
      <w:pPr>
        <w:spacing w:after="0"/>
        <w:textAlignment w:val="center"/>
        <w:rPr>
          <w:rFonts w:ascii="Arial" w:hAnsi="Arial" w:cs="Arial"/>
          <w:b/>
        </w:rPr>
      </w:pPr>
      <w:r w:rsidRPr="00041184">
        <w:rPr>
          <w:rFonts w:ascii="Arial" w:hAnsi="Arial" w:cs="Arial"/>
          <w:b/>
        </w:rPr>
        <w:fldChar w:fldCharType="begin"/>
      </w:r>
      <w:r w:rsidRPr="00041184">
        <w:rPr>
          <w:rFonts w:ascii="Arial" w:hAnsi="Arial" w:cs="Arial"/>
          <w:b/>
        </w:rPr>
        <w:instrText xml:space="preserve"> REF _Ref132057774 \h </w:instrText>
      </w:r>
      <w:r w:rsidRPr="00041184">
        <w:rPr>
          <w:rFonts w:ascii="Arial" w:hAnsi="Arial" w:cs="Arial"/>
          <w:b/>
        </w:rPr>
      </w:r>
      <w:r w:rsidRPr="00041184">
        <w:rPr>
          <w:rFonts w:ascii="Arial" w:hAnsi="Arial" w:cs="Arial"/>
          <w:b/>
        </w:rPr>
        <w:instrText xml:space="preserve"> \* MERGEFORMAT </w:instrText>
      </w:r>
      <w:r w:rsidRPr="00041184">
        <w:rPr>
          <w:rFonts w:ascii="Arial" w:hAnsi="Arial" w:cs="Arial"/>
          <w:b/>
        </w:rPr>
        <w:fldChar w:fldCharType="separate"/>
      </w:r>
      <w:r w:rsidRPr="00041184">
        <w:rPr>
          <w:rFonts w:ascii="Arial" w:hAnsi="Arial" w:cs="Arial"/>
          <w:b/>
        </w:rPr>
        <w:t xml:space="preserve">Proposal </w:t>
      </w:r>
      <w:r w:rsidRPr="00041184">
        <w:rPr>
          <w:rFonts w:ascii="Arial" w:hAnsi="Arial" w:cs="Arial"/>
          <w:b/>
          <w:noProof/>
        </w:rPr>
        <w:t>4</w:t>
      </w:r>
      <w:r w:rsidRPr="00041184">
        <w:rPr>
          <w:rFonts w:ascii="Arial" w:hAnsi="Arial" w:cs="Arial"/>
          <w:b/>
        </w:rPr>
        <w:t>: Introduce the following test cases of intra-frequency measurements for GEO, for NB-IoT and M1, respectively:</w:t>
      </w:r>
      <w:r w:rsidRPr="00041184">
        <w:rPr>
          <w:rFonts w:ascii="Arial" w:hAnsi="Arial" w:cs="Arial"/>
          <w:b/>
        </w:rPr>
        <w:fldChar w:fldCharType="end"/>
      </w:r>
    </w:p>
    <w:p w14:paraId="2189D76F" w14:textId="77777777" w:rsidR="00041184" w:rsidRPr="007A2F03" w:rsidRDefault="00041184" w:rsidP="00041184">
      <w:pPr>
        <w:pStyle w:val="ListParagraph"/>
        <w:numPr>
          <w:ilvl w:val="0"/>
          <w:numId w:val="17"/>
        </w:numPr>
        <w:ind w:firstLineChars="0"/>
        <w:rPr>
          <w:rFonts w:ascii="Arial" w:eastAsia="SimSun" w:hAnsi="Arial" w:cs="Arial"/>
          <w:b/>
        </w:rPr>
      </w:pPr>
      <w:r w:rsidRPr="007A2F03">
        <w:rPr>
          <w:rFonts w:ascii="Arial" w:eastAsia="SimSun" w:hAnsi="Arial" w:cs="Arial"/>
          <w:b/>
        </w:rPr>
        <w:t xml:space="preserve">For NB-IoT: </w:t>
      </w:r>
    </w:p>
    <w:tbl>
      <w:tblPr>
        <w:tblStyle w:val="TableGrid"/>
        <w:tblW w:w="0" w:type="auto"/>
        <w:tblInd w:w="728" w:type="dxa"/>
        <w:tblLook w:val="04A0" w:firstRow="1" w:lastRow="0" w:firstColumn="1" w:lastColumn="0" w:noHBand="0" w:noVBand="1"/>
      </w:tblPr>
      <w:tblGrid>
        <w:gridCol w:w="1208"/>
        <w:gridCol w:w="1106"/>
        <w:gridCol w:w="4073"/>
        <w:gridCol w:w="696"/>
      </w:tblGrid>
      <w:tr w:rsidR="00041184" w14:paraId="0B046F66" w14:textId="77777777" w:rsidTr="00041184">
        <w:trPr>
          <w:trHeight w:val="248"/>
        </w:trPr>
        <w:tc>
          <w:tcPr>
            <w:tcW w:w="1208" w:type="dxa"/>
            <w:vMerge w:val="restart"/>
          </w:tcPr>
          <w:p w14:paraId="401A72E6" w14:textId="77777777" w:rsidR="00041184" w:rsidRPr="000B3A03" w:rsidRDefault="00041184" w:rsidP="00A066A6">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tcPr>
          <w:p w14:paraId="51B6B686" w14:textId="77777777" w:rsidR="00041184" w:rsidRPr="000B3A03" w:rsidRDefault="00041184" w:rsidP="00A066A6">
            <w:pPr>
              <w:rPr>
                <w:rFonts w:eastAsiaTheme="minorEastAsia"/>
                <w:sz w:val="16"/>
                <w:szCs w:val="16"/>
                <w:lang w:val="en-US" w:eastAsia="zh-CN"/>
              </w:rPr>
            </w:pPr>
            <w:r w:rsidRPr="000B3A03">
              <w:rPr>
                <w:sz w:val="16"/>
                <w:szCs w:val="16"/>
              </w:rPr>
              <w:t>Cell Re-Selection</w:t>
            </w:r>
          </w:p>
        </w:tc>
        <w:tc>
          <w:tcPr>
            <w:tcW w:w="4073" w:type="dxa"/>
          </w:tcPr>
          <w:p w14:paraId="69850BC4" w14:textId="77777777" w:rsidR="00041184" w:rsidRPr="00C56B8A" w:rsidRDefault="00041184" w:rsidP="00A066A6">
            <w:pPr>
              <w:rPr>
                <w:sz w:val="16"/>
                <w:szCs w:val="16"/>
              </w:rPr>
            </w:pPr>
            <w:r w:rsidRPr="000B3A03">
              <w:rPr>
                <w:sz w:val="16"/>
                <w:szCs w:val="16"/>
              </w:rPr>
              <w:t>HD – FDD Intra frequency case for UE Category NB1 in normal coverage</w:t>
            </w:r>
          </w:p>
        </w:tc>
        <w:tc>
          <w:tcPr>
            <w:tcW w:w="696" w:type="dxa"/>
          </w:tcPr>
          <w:p w14:paraId="30215D48" w14:textId="77777777" w:rsidR="00041184" w:rsidRPr="00521337" w:rsidRDefault="00041184" w:rsidP="00A066A6">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r>
      <w:tr w:rsidR="00041184" w:rsidRPr="0067690F" w14:paraId="319A7E16" w14:textId="77777777" w:rsidTr="00041184">
        <w:trPr>
          <w:trHeight w:val="457"/>
        </w:trPr>
        <w:tc>
          <w:tcPr>
            <w:tcW w:w="1208" w:type="dxa"/>
            <w:vMerge/>
          </w:tcPr>
          <w:p w14:paraId="4432402C" w14:textId="77777777" w:rsidR="00041184" w:rsidRPr="000B3A03" w:rsidRDefault="00041184" w:rsidP="00A066A6">
            <w:pPr>
              <w:rPr>
                <w:rFonts w:eastAsiaTheme="minorEastAsia"/>
                <w:sz w:val="16"/>
                <w:szCs w:val="16"/>
                <w:lang w:val="en-US" w:eastAsia="zh-CN"/>
              </w:rPr>
            </w:pPr>
          </w:p>
        </w:tc>
        <w:tc>
          <w:tcPr>
            <w:tcW w:w="1106" w:type="dxa"/>
            <w:vMerge/>
          </w:tcPr>
          <w:p w14:paraId="56D4A097" w14:textId="77777777" w:rsidR="00041184" w:rsidRPr="000B3A03" w:rsidRDefault="00041184" w:rsidP="00A066A6">
            <w:pPr>
              <w:rPr>
                <w:sz w:val="16"/>
                <w:szCs w:val="16"/>
              </w:rPr>
            </w:pPr>
          </w:p>
        </w:tc>
        <w:tc>
          <w:tcPr>
            <w:tcW w:w="4073" w:type="dxa"/>
          </w:tcPr>
          <w:p w14:paraId="36219B12" w14:textId="77777777" w:rsidR="00041184" w:rsidRPr="000B3A03" w:rsidRDefault="00041184" w:rsidP="00A066A6">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96" w:type="dxa"/>
          </w:tcPr>
          <w:p w14:paraId="4246CFB1" w14:textId="77777777" w:rsidR="00041184" w:rsidRPr="000B3A03" w:rsidRDefault="00041184" w:rsidP="00A066A6">
            <w:pPr>
              <w:rPr>
                <w:sz w:val="16"/>
                <w:szCs w:val="16"/>
              </w:rPr>
            </w:pPr>
            <w:r>
              <w:rPr>
                <w:rFonts w:eastAsia="新細明體" w:hint="eastAsia"/>
                <w:sz w:val="16"/>
                <w:szCs w:val="16"/>
                <w:lang w:eastAsia="zh-TW"/>
              </w:rPr>
              <w:t>N</w:t>
            </w:r>
            <w:r>
              <w:rPr>
                <w:rFonts w:eastAsia="新細明體"/>
                <w:sz w:val="16"/>
                <w:szCs w:val="16"/>
                <w:lang w:eastAsia="zh-TW"/>
              </w:rPr>
              <w:t>B 1-3</w:t>
            </w:r>
          </w:p>
        </w:tc>
      </w:tr>
      <w:tr w:rsidR="00041184" w:rsidRPr="0067690F" w14:paraId="7BBD2C9F" w14:textId="77777777" w:rsidTr="00041184">
        <w:trPr>
          <w:trHeight w:val="457"/>
        </w:trPr>
        <w:tc>
          <w:tcPr>
            <w:tcW w:w="1208" w:type="dxa"/>
            <w:vMerge/>
          </w:tcPr>
          <w:p w14:paraId="0EE3E218" w14:textId="77777777" w:rsidR="00041184" w:rsidRPr="000B3A03" w:rsidRDefault="00041184" w:rsidP="00A066A6">
            <w:pPr>
              <w:rPr>
                <w:rFonts w:eastAsiaTheme="minorEastAsia"/>
                <w:sz w:val="16"/>
                <w:szCs w:val="16"/>
                <w:lang w:val="en-US" w:eastAsia="zh-CN"/>
              </w:rPr>
            </w:pPr>
          </w:p>
        </w:tc>
        <w:tc>
          <w:tcPr>
            <w:tcW w:w="1106" w:type="dxa"/>
            <w:vMerge/>
          </w:tcPr>
          <w:p w14:paraId="57656CDD" w14:textId="77777777" w:rsidR="00041184" w:rsidRPr="000B3A03" w:rsidRDefault="00041184" w:rsidP="00A066A6">
            <w:pPr>
              <w:rPr>
                <w:sz w:val="16"/>
                <w:szCs w:val="16"/>
              </w:rPr>
            </w:pPr>
          </w:p>
        </w:tc>
        <w:tc>
          <w:tcPr>
            <w:tcW w:w="4073" w:type="dxa"/>
          </w:tcPr>
          <w:p w14:paraId="690E3253" w14:textId="77777777" w:rsidR="00041184" w:rsidRPr="000B3A03" w:rsidRDefault="00041184" w:rsidP="00A066A6">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96" w:type="dxa"/>
          </w:tcPr>
          <w:p w14:paraId="60AD8466" w14:textId="77777777" w:rsidR="00041184" w:rsidRPr="000B3A03" w:rsidRDefault="00041184" w:rsidP="00A066A6">
            <w:pPr>
              <w:rPr>
                <w:sz w:val="16"/>
                <w:szCs w:val="16"/>
              </w:rPr>
            </w:pPr>
            <w:r>
              <w:rPr>
                <w:rFonts w:eastAsia="新細明體" w:hint="eastAsia"/>
                <w:sz w:val="16"/>
                <w:szCs w:val="16"/>
                <w:lang w:eastAsia="zh-TW"/>
              </w:rPr>
              <w:t>N</w:t>
            </w:r>
            <w:r>
              <w:rPr>
                <w:rFonts w:eastAsia="新細明體"/>
                <w:sz w:val="16"/>
                <w:szCs w:val="16"/>
                <w:lang w:eastAsia="zh-TW"/>
              </w:rPr>
              <w:t>B 1-4</w:t>
            </w:r>
          </w:p>
        </w:tc>
      </w:tr>
      <w:tr w:rsidR="00041184" w:rsidRPr="00A81438" w14:paraId="00B81DE1" w14:textId="77777777" w:rsidTr="00041184">
        <w:trPr>
          <w:trHeight w:val="54"/>
        </w:trPr>
        <w:tc>
          <w:tcPr>
            <w:tcW w:w="1208" w:type="dxa"/>
          </w:tcPr>
          <w:p w14:paraId="2365BB5C" w14:textId="77777777" w:rsidR="00041184" w:rsidRPr="000B3A03" w:rsidRDefault="00041184" w:rsidP="00A066A6">
            <w:pPr>
              <w:rPr>
                <w:rFonts w:eastAsiaTheme="minorEastAsia"/>
                <w:sz w:val="16"/>
                <w:szCs w:val="16"/>
                <w:lang w:val="en-US" w:eastAsia="zh-CN"/>
              </w:rPr>
            </w:pPr>
            <w:r w:rsidRPr="000B3A03">
              <w:rPr>
                <w:sz w:val="16"/>
                <w:szCs w:val="16"/>
              </w:rPr>
              <w:t>RRC Connection Control</w:t>
            </w:r>
          </w:p>
        </w:tc>
        <w:tc>
          <w:tcPr>
            <w:tcW w:w="1106" w:type="dxa"/>
          </w:tcPr>
          <w:p w14:paraId="10D18BF8" w14:textId="77777777" w:rsidR="00041184" w:rsidRPr="000B3A03" w:rsidRDefault="00041184" w:rsidP="00A066A6">
            <w:pPr>
              <w:rPr>
                <w:rFonts w:eastAsiaTheme="minorEastAsia"/>
                <w:sz w:val="16"/>
                <w:szCs w:val="16"/>
                <w:lang w:val="en-US" w:eastAsia="zh-CN"/>
              </w:rPr>
            </w:pPr>
            <w:r w:rsidRPr="000B3A03">
              <w:rPr>
                <w:snapToGrid w:val="0"/>
                <w:sz w:val="16"/>
                <w:szCs w:val="16"/>
              </w:rPr>
              <w:t>RRC Re-establishment</w:t>
            </w:r>
          </w:p>
        </w:tc>
        <w:tc>
          <w:tcPr>
            <w:tcW w:w="4073" w:type="dxa"/>
          </w:tcPr>
          <w:p w14:paraId="51F370E0" w14:textId="77777777" w:rsidR="00041184" w:rsidRPr="0099316F" w:rsidRDefault="00041184" w:rsidP="00A066A6">
            <w:pPr>
              <w:rPr>
                <w:strike/>
                <w:snapToGrid w:val="0"/>
                <w:sz w:val="16"/>
                <w:szCs w:val="16"/>
                <w:lang w:eastAsia="zh-CN"/>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96" w:type="dxa"/>
          </w:tcPr>
          <w:p w14:paraId="033E1BAB" w14:textId="77777777" w:rsidR="00041184" w:rsidRPr="0099316F" w:rsidRDefault="00041184" w:rsidP="00A066A6">
            <w:pPr>
              <w:rPr>
                <w:strike/>
                <w:snapToGrid w:val="0"/>
                <w:sz w:val="16"/>
                <w:szCs w:val="16"/>
              </w:rPr>
            </w:pPr>
            <w:r>
              <w:rPr>
                <w:rFonts w:eastAsia="新細明體" w:hint="eastAsia"/>
                <w:sz w:val="16"/>
                <w:szCs w:val="16"/>
                <w:lang w:eastAsia="zh-TW"/>
              </w:rPr>
              <w:t>N</w:t>
            </w:r>
            <w:r>
              <w:rPr>
                <w:rFonts w:eastAsia="新細明體"/>
                <w:sz w:val="16"/>
                <w:szCs w:val="16"/>
                <w:lang w:eastAsia="zh-TW"/>
              </w:rPr>
              <w:t>B 2-2</w:t>
            </w:r>
          </w:p>
        </w:tc>
      </w:tr>
    </w:tbl>
    <w:p w14:paraId="325F0168" w14:textId="77777777" w:rsidR="00041184" w:rsidRPr="007A2F03" w:rsidRDefault="00041184" w:rsidP="00041184">
      <w:pPr>
        <w:pStyle w:val="ListParagraph"/>
        <w:numPr>
          <w:ilvl w:val="0"/>
          <w:numId w:val="17"/>
        </w:numPr>
        <w:ind w:firstLineChars="0"/>
        <w:rPr>
          <w:rFonts w:ascii="Arial" w:eastAsia="SimSun" w:hAnsi="Arial" w:cs="Arial"/>
          <w:b/>
        </w:rPr>
      </w:pPr>
      <w:r w:rsidRPr="007A2F03">
        <w:rPr>
          <w:rFonts w:ascii="Arial" w:eastAsia="SimSun" w:hAnsi="Arial" w:cs="Arial"/>
          <w:b/>
        </w:rPr>
        <w:t xml:space="preserve">For </w:t>
      </w:r>
      <w:r>
        <w:rPr>
          <w:rFonts w:ascii="Arial" w:eastAsia="SimSun" w:hAnsi="Arial" w:cs="Arial"/>
          <w:b/>
        </w:rPr>
        <w:t>M1</w:t>
      </w:r>
      <w:r w:rsidRPr="007A2F03">
        <w:rPr>
          <w:rFonts w:ascii="Arial" w:eastAsia="SimSun" w:hAnsi="Arial" w:cs="Arial"/>
          <w:b/>
        </w:rPr>
        <w:t xml:space="preserve">: </w:t>
      </w:r>
    </w:p>
    <w:tbl>
      <w:tblPr>
        <w:tblStyle w:val="TableGrid"/>
        <w:tblW w:w="7083" w:type="dxa"/>
        <w:tblInd w:w="749" w:type="dxa"/>
        <w:tblLook w:val="04A0" w:firstRow="1" w:lastRow="0" w:firstColumn="1" w:lastColumn="0" w:noHBand="0" w:noVBand="1"/>
      </w:tblPr>
      <w:tblGrid>
        <w:gridCol w:w="1263"/>
        <w:gridCol w:w="1096"/>
        <w:gridCol w:w="4023"/>
        <w:gridCol w:w="701"/>
      </w:tblGrid>
      <w:tr w:rsidR="00041184" w14:paraId="4856BA60" w14:textId="77777777" w:rsidTr="00041184">
        <w:trPr>
          <w:trHeight w:val="459"/>
        </w:trPr>
        <w:tc>
          <w:tcPr>
            <w:tcW w:w="1263" w:type="dxa"/>
            <w:vMerge w:val="restart"/>
          </w:tcPr>
          <w:p w14:paraId="01C5B3E4" w14:textId="77777777" w:rsidR="00041184" w:rsidRPr="000B3A03" w:rsidRDefault="00041184" w:rsidP="00A066A6">
            <w:pPr>
              <w:rPr>
                <w:rFonts w:eastAsiaTheme="minorEastAsia"/>
                <w:sz w:val="16"/>
                <w:szCs w:val="16"/>
                <w:lang w:val="en-US" w:eastAsia="zh-CN"/>
              </w:rPr>
            </w:pPr>
            <w:r w:rsidRPr="000B3A03">
              <w:rPr>
                <w:rFonts w:eastAsiaTheme="minorEastAsia"/>
                <w:sz w:val="16"/>
                <w:szCs w:val="16"/>
                <w:lang w:val="en-US" w:eastAsia="zh-CN"/>
              </w:rPr>
              <w:t>RRC_IDLE state</w:t>
            </w:r>
          </w:p>
        </w:tc>
        <w:tc>
          <w:tcPr>
            <w:tcW w:w="1096" w:type="dxa"/>
            <w:vMerge w:val="restart"/>
          </w:tcPr>
          <w:p w14:paraId="1892F29B" w14:textId="77777777" w:rsidR="00041184" w:rsidRPr="000B3A03" w:rsidRDefault="00041184" w:rsidP="00A066A6">
            <w:pPr>
              <w:rPr>
                <w:rFonts w:eastAsiaTheme="minorEastAsia"/>
                <w:sz w:val="16"/>
                <w:szCs w:val="16"/>
                <w:lang w:val="en-US" w:eastAsia="zh-CN"/>
              </w:rPr>
            </w:pPr>
            <w:r w:rsidRPr="000B3A03">
              <w:rPr>
                <w:sz w:val="16"/>
                <w:szCs w:val="16"/>
              </w:rPr>
              <w:t>Cell Re-Selection</w:t>
            </w:r>
          </w:p>
        </w:tc>
        <w:tc>
          <w:tcPr>
            <w:tcW w:w="4023" w:type="dxa"/>
          </w:tcPr>
          <w:p w14:paraId="5871EC0E" w14:textId="77777777" w:rsidR="00041184" w:rsidRPr="000B3A03" w:rsidRDefault="00041184" w:rsidP="00A066A6">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1" w:type="dxa"/>
          </w:tcPr>
          <w:p w14:paraId="2579AFB7" w14:textId="77777777" w:rsidR="00041184" w:rsidRPr="002A61CF" w:rsidRDefault="00041184" w:rsidP="00A066A6">
            <w:pPr>
              <w:rPr>
                <w:sz w:val="16"/>
                <w:szCs w:val="16"/>
              </w:rPr>
            </w:pPr>
            <w:r>
              <w:rPr>
                <w:rFonts w:eastAsia="新細明體"/>
                <w:sz w:val="16"/>
                <w:szCs w:val="16"/>
                <w:lang w:eastAsia="zh-TW"/>
              </w:rPr>
              <w:t>M1 1-1</w:t>
            </w:r>
          </w:p>
        </w:tc>
      </w:tr>
      <w:tr w:rsidR="00041184" w14:paraId="581D6D8F" w14:textId="77777777" w:rsidTr="00041184">
        <w:trPr>
          <w:trHeight w:val="125"/>
        </w:trPr>
        <w:tc>
          <w:tcPr>
            <w:tcW w:w="1263" w:type="dxa"/>
            <w:vMerge/>
          </w:tcPr>
          <w:p w14:paraId="4238C5DF" w14:textId="77777777" w:rsidR="00041184" w:rsidRPr="000B3A03" w:rsidRDefault="00041184" w:rsidP="00A066A6">
            <w:pPr>
              <w:rPr>
                <w:rFonts w:eastAsiaTheme="minorEastAsia"/>
                <w:sz w:val="16"/>
                <w:szCs w:val="16"/>
                <w:lang w:val="en-US" w:eastAsia="zh-CN"/>
              </w:rPr>
            </w:pPr>
          </w:p>
        </w:tc>
        <w:tc>
          <w:tcPr>
            <w:tcW w:w="1096" w:type="dxa"/>
            <w:vMerge/>
          </w:tcPr>
          <w:p w14:paraId="170BE36A" w14:textId="77777777" w:rsidR="00041184" w:rsidRPr="000B3A03" w:rsidRDefault="00041184" w:rsidP="00A066A6">
            <w:pPr>
              <w:rPr>
                <w:sz w:val="16"/>
                <w:szCs w:val="16"/>
              </w:rPr>
            </w:pPr>
          </w:p>
        </w:tc>
        <w:tc>
          <w:tcPr>
            <w:tcW w:w="4023" w:type="dxa"/>
          </w:tcPr>
          <w:p w14:paraId="3E202676" w14:textId="77777777" w:rsidR="00041184" w:rsidRPr="002A61CF" w:rsidRDefault="00041184" w:rsidP="00A066A6">
            <w:pPr>
              <w:rPr>
                <w:sz w:val="16"/>
                <w:szCs w:val="16"/>
              </w:rPr>
            </w:pPr>
            <w:r w:rsidRPr="002A61CF">
              <w:rPr>
                <w:sz w:val="16"/>
                <w:szCs w:val="16"/>
              </w:rPr>
              <w:t>E-UTRAN HD – FDD Intra frequency case for Cat-M1 UE in normal coverage</w:t>
            </w:r>
          </w:p>
        </w:tc>
        <w:tc>
          <w:tcPr>
            <w:tcW w:w="701" w:type="dxa"/>
          </w:tcPr>
          <w:p w14:paraId="7270453F" w14:textId="77777777" w:rsidR="00041184" w:rsidRPr="002A61CF" w:rsidRDefault="00041184" w:rsidP="00A066A6">
            <w:pPr>
              <w:rPr>
                <w:sz w:val="16"/>
                <w:szCs w:val="16"/>
              </w:rPr>
            </w:pPr>
            <w:r>
              <w:rPr>
                <w:rFonts w:eastAsia="新細明體"/>
                <w:sz w:val="16"/>
                <w:szCs w:val="16"/>
                <w:lang w:eastAsia="zh-TW"/>
              </w:rPr>
              <w:t>M1 1-2</w:t>
            </w:r>
          </w:p>
        </w:tc>
      </w:tr>
      <w:tr w:rsidR="00041184" w14:paraId="6805834D" w14:textId="77777777" w:rsidTr="00041184">
        <w:trPr>
          <w:trHeight w:val="457"/>
        </w:trPr>
        <w:tc>
          <w:tcPr>
            <w:tcW w:w="1263" w:type="dxa"/>
            <w:vMerge/>
          </w:tcPr>
          <w:p w14:paraId="7C00E189" w14:textId="77777777" w:rsidR="00041184" w:rsidRPr="000B3A03" w:rsidRDefault="00041184" w:rsidP="00A066A6">
            <w:pPr>
              <w:rPr>
                <w:rFonts w:eastAsiaTheme="minorEastAsia"/>
                <w:sz w:val="16"/>
                <w:szCs w:val="16"/>
                <w:lang w:val="en-US" w:eastAsia="zh-CN"/>
              </w:rPr>
            </w:pPr>
          </w:p>
        </w:tc>
        <w:tc>
          <w:tcPr>
            <w:tcW w:w="1096" w:type="dxa"/>
            <w:vMerge/>
          </w:tcPr>
          <w:p w14:paraId="48D935C3" w14:textId="77777777" w:rsidR="00041184" w:rsidRPr="000B3A03" w:rsidRDefault="00041184" w:rsidP="00A066A6">
            <w:pPr>
              <w:rPr>
                <w:sz w:val="16"/>
                <w:szCs w:val="16"/>
              </w:rPr>
            </w:pPr>
          </w:p>
        </w:tc>
        <w:tc>
          <w:tcPr>
            <w:tcW w:w="4023" w:type="dxa"/>
          </w:tcPr>
          <w:p w14:paraId="4FF05062" w14:textId="77777777" w:rsidR="00041184" w:rsidRPr="002A61CF" w:rsidRDefault="00041184" w:rsidP="00A066A6">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1" w:type="dxa"/>
          </w:tcPr>
          <w:p w14:paraId="51489193" w14:textId="77777777" w:rsidR="00041184" w:rsidRPr="00521337" w:rsidRDefault="00041184" w:rsidP="00A066A6">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r>
      <w:tr w:rsidR="00041184" w14:paraId="60C80423" w14:textId="77777777" w:rsidTr="00041184">
        <w:trPr>
          <w:trHeight w:val="457"/>
        </w:trPr>
        <w:tc>
          <w:tcPr>
            <w:tcW w:w="1263" w:type="dxa"/>
            <w:vMerge/>
          </w:tcPr>
          <w:p w14:paraId="368B0514" w14:textId="77777777" w:rsidR="00041184" w:rsidRPr="000B3A03" w:rsidRDefault="00041184" w:rsidP="00A066A6">
            <w:pPr>
              <w:rPr>
                <w:rFonts w:eastAsiaTheme="minorEastAsia"/>
                <w:sz w:val="16"/>
                <w:szCs w:val="16"/>
                <w:lang w:val="en-US" w:eastAsia="zh-CN"/>
              </w:rPr>
            </w:pPr>
          </w:p>
        </w:tc>
        <w:tc>
          <w:tcPr>
            <w:tcW w:w="1096" w:type="dxa"/>
            <w:vMerge/>
          </w:tcPr>
          <w:p w14:paraId="0E4E9D85" w14:textId="77777777" w:rsidR="00041184" w:rsidRPr="000B3A03" w:rsidRDefault="00041184" w:rsidP="00A066A6">
            <w:pPr>
              <w:rPr>
                <w:sz w:val="16"/>
                <w:szCs w:val="16"/>
              </w:rPr>
            </w:pPr>
          </w:p>
        </w:tc>
        <w:tc>
          <w:tcPr>
            <w:tcW w:w="4023" w:type="dxa"/>
          </w:tcPr>
          <w:p w14:paraId="78FDB534" w14:textId="77777777" w:rsidR="00041184" w:rsidRPr="002A61CF" w:rsidRDefault="00041184" w:rsidP="00A066A6">
            <w:pPr>
              <w:rPr>
                <w:sz w:val="16"/>
                <w:szCs w:val="16"/>
              </w:rPr>
            </w:pPr>
            <w:r w:rsidRPr="002A61CF">
              <w:rPr>
                <w:sz w:val="16"/>
                <w:szCs w:val="16"/>
              </w:rPr>
              <w:t>E-UTRAN HD – FDD Intra frequency case for Cat-M1 UE in normal coverage with serving cell RRM measurement relaxation</w:t>
            </w:r>
          </w:p>
        </w:tc>
        <w:tc>
          <w:tcPr>
            <w:tcW w:w="701" w:type="dxa"/>
          </w:tcPr>
          <w:p w14:paraId="381D8D71" w14:textId="77777777" w:rsidR="00041184" w:rsidRPr="00521337" w:rsidRDefault="00041184" w:rsidP="00A066A6">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r>
      <w:tr w:rsidR="00041184" w14:paraId="6F23662A" w14:textId="77777777" w:rsidTr="00041184">
        <w:tc>
          <w:tcPr>
            <w:tcW w:w="1263" w:type="dxa"/>
            <w:vMerge w:val="restart"/>
          </w:tcPr>
          <w:p w14:paraId="7453959E" w14:textId="77777777" w:rsidR="00041184" w:rsidRPr="000B3A03" w:rsidRDefault="00041184" w:rsidP="00A066A6">
            <w:pPr>
              <w:rPr>
                <w:rFonts w:eastAsiaTheme="minorEastAsia"/>
                <w:sz w:val="16"/>
                <w:szCs w:val="16"/>
                <w:lang w:val="en-US" w:eastAsia="zh-CN"/>
              </w:rPr>
            </w:pPr>
            <w:r w:rsidRPr="000B3A03">
              <w:rPr>
                <w:sz w:val="16"/>
                <w:szCs w:val="16"/>
              </w:rPr>
              <w:t>RRC Connection Control</w:t>
            </w:r>
          </w:p>
        </w:tc>
        <w:tc>
          <w:tcPr>
            <w:tcW w:w="1096" w:type="dxa"/>
            <w:vMerge w:val="restart"/>
          </w:tcPr>
          <w:p w14:paraId="459FC59C" w14:textId="77777777" w:rsidR="00041184" w:rsidRPr="000B3A03" w:rsidRDefault="00041184" w:rsidP="00A066A6">
            <w:pPr>
              <w:rPr>
                <w:rFonts w:eastAsiaTheme="minorEastAsia"/>
                <w:sz w:val="16"/>
                <w:szCs w:val="16"/>
                <w:lang w:val="en-US" w:eastAsia="zh-CN"/>
              </w:rPr>
            </w:pPr>
            <w:r w:rsidRPr="000B3A03">
              <w:rPr>
                <w:snapToGrid w:val="0"/>
                <w:sz w:val="16"/>
                <w:szCs w:val="16"/>
              </w:rPr>
              <w:t>RRC Re-establishment</w:t>
            </w:r>
          </w:p>
        </w:tc>
        <w:tc>
          <w:tcPr>
            <w:tcW w:w="4023" w:type="dxa"/>
          </w:tcPr>
          <w:p w14:paraId="1D6CCB37" w14:textId="77777777" w:rsidR="00041184" w:rsidRPr="000B3A03" w:rsidRDefault="00041184" w:rsidP="00A066A6">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c>
          <w:tcPr>
            <w:tcW w:w="701" w:type="dxa"/>
          </w:tcPr>
          <w:p w14:paraId="71BCB2C7" w14:textId="77777777" w:rsidR="00041184" w:rsidRPr="00B92766" w:rsidRDefault="00041184" w:rsidP="00A066A6">
            <w:pPr>
              <w:rPr>
                <w:rFonts w:eastAsiaTheme="minorEastAsia"/>
                <w:sz w:val="16"/>
                <w:szCs w:val="16"/>
                <w:lang w:val="en-US" w:eastAsia="zh-CN"/>
              </w:rPr>
            </w:pPr>
            <w:r>
              <w:rPr>
                <w:rFonts w:eastAsia="新細明體"/>
                <w:sz w:val="16"/>
                <w:szCs w:val="16"/>
                <w:lang w:eastAsia="zh-TW"/>
              </w:rPr>
              <w:t>M1 3-1</w:t>
            </w:r>
          </w:p>
        </w:tc>
      </w:tr>
      <w:tr w:rsidR="00041184" w14:paraId="70D8C007" w14:textId="77777777" w:rsidTr="00041184">
        <w:trPr>
          <w:trHeight w:val="54"/>
        </w:trPr>
        <w:tc>
          <w:tcPr>
            <w:tcW w:w="1263" w:type="dxa"/>
            <w:vMerge/>
          </w:tcPr>
          <w:p w14:paraId="3C134C6C" w14:textId="77777777" w:rsidR="00041184" w:rsidRPr="000B3A03" w:rsidRDefault="00041184" w:rsidP="00A066A6">
            <w:pPr>
              <w:rPr>
                <w:sz w:val="16"/>
                <w:szCs w:val="16"/>
              </w:rPr>
            </w:pPr>
          </w:p>
        </w:tc>
        <w:tc>
          <w:tcPr>
            <w:tcW w:w="1096" w:type="dxa"/>
            <w:vMerge/>
          </w:tcPr>
          <w:p w14:paraId="4B67AC1E" w14:textId="77777777" w:rsidR="00041184" w:rsidRPr="000B3A03" w:rsidRDefault="00041184" w:rsidP="00A066A6">
            <w:pPr>
              <w:rPr>
                <w:snapToGrid w:val="0"/>
                <w:sz w:val="16"/>
                <w:szCs w:val="16"/>
              </w:rPr>
            </w:pPr>
          </w:p>
        </w:tc>
        <w:tc>
          <w:tcPr>
            <w:tcW w:w="4023" w:type="dxa"/>
          </w:tcPr>
          <w:p w14:paraId="6342CF6A" w14:textId="77777777" w:rsidR="00041184" w:rsidRPr="00B92766" w:rsidRDefault="00041184" w:rsidP="00A066A6">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c>
          <w:tcPr>
            <w:tcW w:w="701" w:type="dxa"/>
          </w:tcPr>
          <w:p w14:paraId="151C1184" w14:textId="77777777" w:rsidR="00041184" w:rsidRPr="00B92766" w:rsidRDefault="00041184" w:rsidP="00A066A6">
            <w:pPr>
              <w:rPr>
                <w:rFonts w:eastAsiaTheme="minorEastAsia"/>
                <w:sz w:val="16"/>
                <w:szCs w:val="16"/>
                <w:lang w:val="en-US" w:eastAsia="zh-CN"/>
              </w:rPr>
            </w:pPr>
            <w:r>
              <w:rPr>
                <w:rFonts w:eastAsia="新細明體"/>
                <w:sz w:val="16"/>
                <w:szCs w:val="16"/>
                <w:lang w:eastAsia="zh-TW"/>
              </w:rPr>
              <w:t>M1 3-2</w:t>
            </w:r>
          </w:p>
        </w:tc>
      </w:tr>
    </w:tbl>
    <w:p w14:paraId="44B2FC67" w14:textId="77777777" w:rsidR="00041184" w:rsidRPr="00041184" w:rsidRDefault="00041184" w:rsidP="00041184">
      <w:pPr>
        <w:spacing w:after="0"/>
        <w:textAlignment w:val="center"/>
        <w:rPr>
          <w:rFonts w:ascii="Arial" w:hAnsi="Arial" w:cs="Arial"/>
          <w:b/>
        </w:rPr>
      </w:pPr>
    </w:p>
    <w:p w14:paraId="24D98B5A" w14:textId="3BA77628" w:rsidR="00B971BF" w:rsidRPr="00EA3E80" w:rsidRDefault="00B971BF" w:rsidP="00B971BF">
      <w:pPr>
        <w:pStyle w:val="Heading1"/>
        <w:numPr>
          <w:ilvl w:val="0"/>
          <w:numId w:val="0"/>
        </w:numPr>
        <w:ind w:left="432" w:hanging="432"/>
        <w:rPr>
          <w:rFonts w:cs="Arial"/>
          <w:lang w:eastAsia="ja-JP"/>
        </w:rPr>
      </w:pPr>
      <w:r w:rsidRPr="00EA3E80">
        <w:rPr>
          <w:rFonts w:cs="Arial"/>
          <w:lang w:eastAsia="ja-JP"/>
        </w:rPr>
        <w:t xml:space="preserve">Reference </w:t>
      </w:r>
    </w:p>
    <w:p w14:paraId="34FFB5F2" w14:textId="7C7C15CD" w:rsidR="007931A9" w:rsidRPr="00EA3E80" w:rsidRDefault="00EA3E80" w:rsidP="007931A9">
      <w:pPr>
        <w:pStyle w:val="ListParagraph"/>
        <w:numPr>
          <w:ilvl w:val="0"/>
          <w:numId w:val="2"/>
        </w:numPr>
        <w:ind w:firstLineChars="0"/>
        <w:rPr>
          <w:rFonts w:ascii="Arial" w:hAnsi="Arial" w:cs="Arial"/>
        </w:rPr>
      </w:pPr>
      <w:bookmarkStart w:id="7" w:name="_Ref132057305"/>
      <w:r w:rsidRPr="00EA3E80">
        <w:rPr>
          <w:rFonts w:ascii="Arial" w:hAnsi="Arial" w:cs="Arial"/>
        </w:rPr>
        <w:t>R4-2303311</w:t>
      </w:r>
      <w:r w:rsidR="007931A9" w:rsidRPr="00EA3E80">
        <w:rPr>
          <w:rFonts w:ascii="微軟正黑體" w:eastAsia="微軟正黑體" w:hAnsi="微軟正黑體" w:cs="微軟正黑體" w:hint="eastAsia"/>
          <w:lang w:eastAsia="zh-TW"/>
        </w:rPr>
        <w:t>,</w:t>
      </w:r>
      <w:r w:rsidR="007931A9" w:rsidRPr="00EA3E80">
        <w:rPr>
          <w:rFonts w:ascii="微軟正黑體" w:eastAsia="微軟正黑體" w:hAnsi="微軟正黑體" w:cs="微軟正黑體"/>
          <w:lang w:eastAsia="zh-TW"/>
        </w:rPr>
        <w:t xml:space="preserve"> WF </w:t>
      </w:r>
      <w:r w:rsidR="007931A9" w:rsidRPr="00EA3E80">
        <w:rPr>
          <w:rFonts w:ascii="Arial" w:hAnsi="Arial" w:cs="Arial"/>
        </w:rPr>
        <w:t>on NTN NB-IoT/</w:t>
      </w:r>
      <w:proofErr w:type="spellStart"/>
      <w:r w:rsidR="007931A9" w:rsidRPr="00EA3E80">
        <w:rPr>
          <w:rFonts w:ascii="Arial" w:hAnsi="Arial" w:cs="Arial"/>
        </w:rPr>
        <w:t>eMTC</w:t>
      </w:r>
      <w:proofErr w:type="spellEnd"/>
      <w:r w:rsidR="007931A9" w:rsidRPr="00EA3E80">
        <w:rPr>
          <w:rFonts w:ascii="Arial" w:hAnsi="Arial" w:cs="Arial"/>
        </w:rPr>
        <w:t xml:space="preserve"> RRM requirements, MediaTek Inc., RAN</w:t>
      </w:r>
      <w:r w:rsidR="00E9339E" w:rsidRPr="00EA3E80">
        <w:rPr>
          <w:rFonts w:ascii="Arial" w:hAnsi="Arial" w:cs="Arial"/>
        </w:rPr>
        <w:t>4</w:t>
      </w:r>
      <w:r w:rsidR="007931A9" w:rsidRPr="00EA3E80">
        <w:rPr>
          <w:rFonts w:ascii="Arial" w:hAnsi="Arial" w:cs="Arial"/>
        </w:rPr>
        <w:t>#10</w:t>
      </w:r>
      <w:r w:rsidRPr="00EA3E80">
        <w:rPr>
          <w:rFonts w:ascii="Arial" w:hAnsi="Arial" w:cs="Arial"/>
        </w:rPr>
        <w:t>6</w:t>
      </w:r>
      <w:r w:rsidR="007931A9" w:rsidRPr="00EA3E80">
        <w:rPr>
          <w:rFonts w:ascii="Arial" w:hAnsi="Arial" w:cs="Arial"/>
        </w:rPr>
        <w:t xml:space="preserve">, </w:t>
      </w:r>
      <w:r w:rsidRPr="00EA3E80">
        <w:rPr>
          <w:rFonts w:ascii="Arial" w:hAnsi="Arial" w:cs="Arial"/>
        </w:rPr>
        <w:t>Feb</w:t>
      </w:r>
      <w:r w:rsidR="007931A9" w:rsidRPr="00EA3E80">
        <w:rPr>
          <w:rFonts w:ascii="Arial" w:hAnsi="Arial" w:cs="Arial"/>
        </w:rPr>
        <w:t>. 202</w:t>
      </w:r>
      <w:r w:rsidRPr="00EA3E80">
        <w:rPr>
          <w:rFonts w:ascii="Arial" w:hAnsi="Arial" w:cs="Arial"/>
        </w:rPr>
        <w:t>3</w:t>
      </w:r>
      <w:r w:rsidR="007931A9" w:rsidRPr="00EA3E80">
        <w:rPr>
          <w:rFonts w:ascii="Arial" w:hAnsi="Arial" w:cs="Arial"/>
        </w:rPr>
        <w:t>.</w:t>
      </w:r>
      <w:bookmarkEnd w:id="7"/>
      <w:r w:rsidR="007931A9" w:rsidRPr="00EA3E80">
        <w:rPr>
          <w:rFonts w:ascii="Arial" w:hAnsi="Arial" w:cs="Arial"/>
        </w:rPr>
        <w:t xml:space="preserve"> </w:t>
      </w:r>
    </w:p>
    <w:p w14:paraId="660C1528" w14:textId="02488B07" w:rsidR="00C51A9B" w:rsidRPr="00D11B19" w:rsidRDefault="00C51A9B" w:rsidP="00E9339E">
      <w:pPr>
        <w:pStyle w:val="ListParagraph"/>
        <w:numPr>
          <w:ilvl w:val="0"/>
          <w:numId w:val="2"/>
        </w:numPr>
        <w:ind w:firstLineChars="0"/>
        <w:rPr>
          <w:rFonts w:ascii="Arial" w:hAnsi="Arial" w:cs="Arial"/>
        </w:rPr>
      </w:pPr>
      <w:bookmarkStart w:id="8" w:name="_Ref127537757"/>
      <w:r w:rsidRPr="000D34AE">
        <w:rPr>
          <w:rFonts w:ascii="Arial" w:hAnsi="Arial" w:cs="Arial"/>
        </w:rPr>
        <w:t>R4-230</w:t>
      </w:r>
      <w:r w:rsidR="000D34AE" w:rsidRPr="000D34AE">
        <w:rPr>
          <w:rFonts w:ascii="Arial" w:hAnsi="Arial" w:cs="Arial"/>
        </w:rPr>
        <w:t>48</w:t>
      </w:r>
      <w:r w:rsidR="000D34AE" w:rsidRPr="000D34AE">
        <w:rPr>
          <w:rFonts w:ascii="Arial" w:hAnsi="Arial" w:cs="Arial" w:hint="eastAsia"/>
        </w:rPr>
        <w:t>19</w:t>
      </w:r>
      <w:r w:rsidRPr="00D11B19">
        <w:rPr>
          <w:rFonts w:ascii="Arial" w:hAnsi="Arial" w:cs="Arial"/>
        </w:rPr>
        <w:t>, RRM core requirements maintenance for LTE NB-IoT/</w:t>
      </w:r>
      <w:proofErr w:type="spellStart"/>
      <w:r w:rsidRPr="00D11B19">
        <w:rPr>
          <w:rFonts w:ascii="Arial" w:hAnsi="Arial" w:cs="Arial"/>
        </w:rPr>
        <w:t>eMTC</w:t>
      </w:r>
      <w:proofErr w:type="spellEnd"/>
      <w:r w:rsidRPr="00D11B19">
        <w:rPr>
          <w:rFonts w:ascii="Arial" w:hAnsi="Arial" w:cs="Arial"/>
        </w:rPr>
        <w:t xml:space="preserve"> over NTN, RAN4#106.</w:t>
      </w:r>
      <w:bookmarkEnd w:id="8"/>
    </w:p>
    <w:p w14:paraId="76EB496C" w14:textId="0842AA7D" w:rsidR="006A7992" w:rsidRPr="004149E3" w:rsidRDefault="006A7992" w:rsidP="006A7992">
      <w:pPr>
        <w:pStyle w:val="ListParagraph"/>
        <w:ind w:left="360" w:firstLineChars="0" w:firstLine="0"/>
        <w:rPr>
          <w:rFonts w:ascii="Arial" w:hAnsi="Arial" w:cs="Arial"/>
          <w:shd w:val="pct15" w:color="auto" w:fill="FFFFFF"/>
        </w:rPr>
      </w:pPr>
    </w:p>
    <w:sectPr w:rsidR="006A7992" w:rsidRPr="004149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8CA5" w14:textId="77777777" w:rsidR="00E77A8D" w:rsidRDefault="00E77A8D">
      <w:r>
        <w:separator/>
      </w:r>
    </w:p>
  </w:endnote>
  <w:endnote w:type="continuationSeparator" w:id="0">
    <w:p w14:paraId="2164660E" w14:textId="77777777" w:rsidR="00E77A8D" w:rsidRDefault="00E7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Intel Clear Light">
    <w:altName w:val="Arial"/>
    <w:charset w:val="00"/>
    <w:family w:val="swiss"/>
    <w:pitch w:val="variable"/>
    <w:sig w:usb0="00000001"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EE607" w14:textId="77777777" w:rsidR="00E77A8D" w:rsidRDefault="00E77A8D">
      <w:r>
        <w:separator/>
      </w:r>
    </w:p>
  </w:footnote>
  <w:footnote w:type="continuationSeparator" w:id="0">
    <w:p w14:paraId="4C27A860" w14:textId="77777777" w:rsidR="00E77A8D" w:rsidRDefault="00E7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903466"/>
    <w:multiLevelType w:val="multilevel"/>
    <w:tmpl w:val="BB5AE1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37E00"/>
    <w:multiLevelType w:val="hybridMultilevel"/>
    <w:tmpl w:val="54E2F4E4"/>
    <w:lvl w:ilvl="0" w:tplc="530EB16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4"/>
  </w:num>
  <w:num w:numId="4">
    <w:abstractNumId w:val="13"/>
  </w:num>
  <w:num w:numId="5">
    <w:abstractNumId w:val="2"/>
  </w:num>
  <w:num w:numId="6">
    <w:abstractNumId w:val="15"/>
  </w:num>
  <w:num w:numId="7">
    <w:abstractNumId w:val="0"/>
    <w:lvlOverride w:ilvl="0">
      <w:startOverride w:val="1"/>
    </w:lvlOverride>
  </w:num>
  <w:num w:numId="8">
    <w:abstractNumId w:val="5"/>
    <w:lvlOverride w:ilvl="0">
      <w:startOverride w:val="3"/>
    </w:lvlOverride>
  </w:num>
  <w:num w:numId="9">
    <w:abstractNumId w:val="3"/>
    <w:lvlOverride w:ilvl="0">
      <w:startOverride w:val="4"/>
    </w:lvlOverride>
  </w:num>
  <w:num w:numId="10">
    <w:abstractNumId w:val="10"/>
  </w:num>
  <w:num w:numId="11">
    <w:abstractNumId w:val="4"/>
  </w:num>
  <w:num w:numId="12">
    <w:abstractNumId w:val="11"/>
  </w:num>
  <w:num w:numId="13">
    <w:abstractNumId w:val="9"/>
  </w:num>
  <w:num w:numId="14">
    <w:abstractNumId w:val="6"/>
  </w:num>
  <w:num w:numId="15">
    <w:abstractNumId w:val="1"/>
  </w:num>
  <w:num w:numId="16">
    <w:abstractNumId w:val="7"/>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75F9"/>
    <w:rsid w:val="00020C56"/>
    <w:rsid w:val="00026ACC"/>
    <w:rsid w:val="00027EF2"/>
    <w:rsid w:val="0003171D"/>
    <w:rsid w:val="00031C1D"/>
    <w:rsid w:val="00034D9B"/>
    <w:rsid w:val="00035C50"/>
    <w:rsid w:val="00041184"/>
    <w:rsid w:val="000457A1"/>
    <w:rsid w:val="00047C9C"/>
    <w:rsid w:val="00050001"/>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B4F04"/>
    <w:rsid w:val="000C241E"/>
    <w:rsid w:val="000C2553"/>
    <w:rsid w:val="000C38C3"/>
    <w:rsid w:val="000C4549"/>
    <w:rsid w:val="000C5C64"/>
    <w:rsid w:val="000C68D1"/>
    <w:rsid w:val="000D09FD"/>
    <w:rsid w:val="000D19DE"/>
    <w:rsid w:val="000D34AE"/>
    <w:rsid w:val="000D44FB"/>
    <w:rsid w:val="000D574B"/>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6B59"/>
    <w:rsid w:val="00187F35"/>
    <w:rsid w:val="00191A1C"/>
    <w:rsid w:val="0019219A"/>
    <w:rsid w:val="00193607"/>
    <w:rsid w:val="00195077"/>
    <w:rsid w:val="00197383"/>
    <w:rsid w:val="00197F93"/>
    <w:rsid w:val="001A033F"/>
    <w:rsid w:val="001A08AA"/>
    <w:rsid w:val="001A59CB"/>
    <w:rsid w:val="001B437F"/>
    <w:rsid w:val="001B789D"/>
    <w:rsid w:val="001B7991"/>
    <w:rsid w:val="001C1409"/>
    <w:rsid w:val="001C1A88"/>
    <w:rsid w:val="001C2AE6"/>
    <w:rsid w:val="001C4A89"/>
    <w:rsid w:val="001C6177"/>
    <w:rsid w:val="001D0363"/>
    <w:rsid w:val="001D0C79"/>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3B80"/>
    <w:rsid w:val="002138EA"/>
    <w:rsid w:val="002139EA"/>
    <w:rsid w:val="00213F84"/>
    <w:rsid w:val="00214FBD"/>
    <w:rsid w:val="0021680C"/>
    <w:rsid w:val="00221E08"/>
    <w:rsid w:val="00222897"/>
    <w:rsid w:val="00222B0C"/>
    <w:rsid w:val="00227DE6"/>
    <w:rsid w:val="002304E4"/>
    <w:rsid w:val="00230C25"/>
    <w:rsid w:val="00235394"/>
    <w:rsid w:val="00235577"/>
    <w:rsid w:val="002371B2"/>
    <w:rsid w:val="00237981"/>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67B89"/>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5A03"/>
    <w:rsid w:val="002A78A7"/>
    <w:rsid w:val="002A7DA6"/>
    <w:rsid w:val="002B03F9"/>
    <w:rsid w:val="002B2BEB"/>
    <w:rsid w:val="002B516C"/>
    <w:rsid w:val="002B58D6"/>
    <w:rsid w:val="002B5E1D"/>
    <w:rsid w:val="002B60C1"/>
    <w:rsid w:val="002B61BB"/>
    <w:rsid w:val="002B7C74"/>
    <w:rsid w:val="002C1D34"/>
    <w:rsid w:val="002C4B52"/>
    <w:rsid w:val="002C5060"/>
    <w:rsid w:val="002D03E5"/>
    <w:rsid w:val="002D36EB"/>
    <w:rsid w:val="002D3CD5"/>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5D02"/>
    <w:rsid w:val="003260D7"/>
    <w:rsid w:val="00330984"/>
    <w:rsid w:val="0033332E"/>
    <w:rsid w:val="00335E70"/>
    <w:rsid w:val="00336362"/>
    <w:rsid w:val="00336697"/>
    <w:rsid w:val="0033770D"/>
    <w:rsid w:val="003418CB"/>
    <w:rsid w:val="00345611"/>
    <w:rsid w:val="0034616C"/>
    <w:rsid w:val="003506C5"/>
    <w:rsid w:val="003511AE"/>
    <w:rsid w:val="00352264"/>
    <w:rsid w:val="00355873"/>
    <w:rsid w:val="0035660F"/>
    <w:rsid w:val="003628B9"/>
    <w:rsid w:val="00362D8F"/>
    <w:rsid w:val="00367724"/>
    <w:rsid w:val="0037062B"/>
    <w:rsid w:val="003710BA"/>
    <w:rsid w:val="003770F6"/>
    <w:rsid w:val="00383E37"/>
    <w:rsid w:val="0039049D"/>
    <w:rsid w:val="0039103C"/>
    <w:rsid w:val="00393042"/>
    <w:rsid w:val="00393DBA"/>
    <w:rsid w:val="00394AD5"/>
    <w:rsid w:val="0039642D"/>
    <w:rsid w:val="003A1744"/>
    <w:rsid w:val="003A2E40"/>
    <w:rsid w:val="003B0158"/>
    <w:rsid w:val="003B14C2"/>
    <w:rsid w:val="003B400D"/>
    <w:rsid w:val="003B40B6"/>
    <w:rsid w:val="003B56DB"/>
    <w:rsid w:val="003B5CF8"/>
    <w:rsid w:val="003B755E"/>
    <w:rsid w:val="003C228E"/>
    <w:rsid w:val="003C2655"/>
    <w:rsid w:val="003C2B0C"/>
    <w:rsid w:val="003C4D19"/>
    <w:rsid w:val="003C51E7"/>
    <w:rsid w:val="003C6893"/>
    <w:rsid w:val="003C6DE2"/>
    <w:rsid w:val="003D1C54"/>
    <w:rsid w:val="003D1EFD"/>
    <w:rsid w:val="003D28BF"/>
    <w:rsid w:val="003D2BFB"/>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49E3"/>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36F"/>
    <w:rsid w:val="00453944"/>
    <w:rsid w:val="00456A72"/>
    <w:rsid w:val="00456A75"/>
    <w:rsid w:val="00460FE5"/>
    <w:rsid w:val="004617C7"/>
    <w:rsid w:val="00461E39"/>
    <w:rsid w:val="00462D3A"/>
    <w:rsid w:val="00463521"/>
    <w:rsid w:val="00464577"/>
    <w:rsid w:val="004655D2"/>
    <w:rsid w:val="00471125"/>
    <w:rsid w:val="0047437A"/>
    <w:rsid w:val="00480E42"/>
    <w:rsid w:val="00484C5D"/>
    <w:rsid w:val="0048543E"/>
    <w:rsid w:val="004868C1"/>
    <w:rsid w:val="0048750F"/>
    <w:rsid w:val="00492FD4"/>
    <w:rsid w:val="0049368F"/>
    <w:rsid w:val="004A17E9"/>
    <w:rsid w:val="004A495F"/>
    <w:rsid w:val="004A5F11"/>
    <w:rsid w:val="004A7544"/>
    <w:rsid w:val="004A7A15"/>
    <w:rsid w:val="004B0DFF"/>
    <w:rsid w:val="004B695D"/>
    <w:rsid w:val="004B6B0F"/>
    <w:rsid w:val="004B7493"/>
    <w:rsid w:val="004C2C70"/>
    <w:rsid w:val="004C54E5"/>
    <w:rsid w:val="004C7DC8"/>
    <w:rsid w:val="004D0F59"/>
    <w:rsid w:val="004D21B0"/>
    <w:rsid w:val="004D5DC8"/>
    <w:rsid w:val="004D737D"/>
    <w:rsid w:val="004E0C96"/>
    <w:rsid w:val="004E2659"/>
    <w:rsid w:val="004E39EE"/>
    <w:rsid w:val="004E475C"/>
    <w:rsid w:val="004E53EE"/>
    <w:rsid w:val="004E56E0"/>
    <w:rsid w:val="004E7329"/>
    <w:rsid w:val="004F11F3"/>
    <w:rsid w:val="004F2CB0"/>
    <w:rsid w:val="004F460D"/>
    <w:rsid w:val="004F6528"/>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626FB"/>
    <w:rsid w:val="0056310B"/>
    <w:rsid w:val="00570373"/>
    <w:rsid w:val="00571777"/>
    <w:rsid w:val="005743D5"/>
    <w:rsid w:val="00575276"/>
    <w:rsid w:val="005774E5"/>
    <w:rsid w:val="00580FF5"/>
    <w:rsid w:val="0058519C"/>
    <w:rsid w:val="0059149A"/>
    <w:rsid w:val="0059340D"/>
    <w:rsid w:val="005956EE"/>
    <w:rsid w:val="005A083E"/>
    <w:rsid w:val="005A1578"/>
    <w:rsid w:val="005A39FE"/>
    <w:rsid w:val="005A6AE8"/>
    <w:rsid w:val="005B1670"/>
    <w:rsid w:val="005B4802"/>
    <w:rsid w:val="005B49E1"/>
    <w:rsid w:val="005C00EC"/>
    <w:rsid w:val="005C0A01"/>
    <w:rsid w:val="005C1EA6"/>
    <w:rsid w:val="005C3424"/>
    <w:rsid w:val="005C4452"/>
    <w:rsid w:val="005C6C84"/>
    <w:rsid w:val="005D04C2"/>
    <w:rsid w:val="005D0B99"/>
    <w:rsid w:val="005D308E"/>
    <w:rsid w:val="005D3A48"/>
    <w:rsid w:val="005D7AF8"/>
    <w:rsid w:val="005E0E63"/>
    <w:rsid w:val="005E17BF"/>
    <w:rsid w:val="005E366A"/>
    <w:rsid w:val="005E3F4F"/>
    <w:rsid w:val="005E465B"/>
    <w:rsid w:val="005F2145"/>
    <w:rsid w:val="005F344B"/>
    <w:rsid w:val="005F638C"/>
    <w:rsid w:val="005F7BC1"/>
    <w:rsid w:val="005F7C7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3757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75994"/>
    <w:rsid w:val="006808C6"/>
    <w:rsid w:val="00682668"/>
    <w:rsid w:val="00682E84"/>
    <w:rsid w:val="0068369A"/>
    <w:rsid w:val="00687409"/>
    <w:rsid w:val="00692A68"/>
    <w:rsid w:val="00693DCA"/>
    <w:rsid w:val="00695D85"/>
    <w:rsid w:val="006A2148"/>
    <w:rsid w:val="006A2671"/>
    <w:rsid w:val="006A30A2"/>
    <w:rsid w:val="006A5008"/>
    <w:rsid w:val="006A5E84"/>
    <w:rsid w:val="006A6D23"/>
    <w:rsid w:val="006A7896"/>
    <w:rsid w:val="006A7992"/>
    <w:rsid w:val="006B25DE"/>
    <w:rsid w:val="006B2CBF"/>
    <w:rsid w:val="006C0363"/>
    <w:rsid w:val="006C1C3B"/>
    <w:rsid w:val="006C3BCB"/>
    <w:rsid w:val="006C4E43"/>
    <w:rsid w:val="006C643E"/>
    <w:rsid w:val="006D2932"/>
    <w:rsid w:val="006D3671"/>
    <w:rsid w:val="006D4176"/>
    <w:rsid w:val="006E0A73"/>
    <w:rsid w:val="006E0FEE"/>
    <w:rsid w:val="006E4179"/>
    <w:rsid w:val="006E6C11"/>
    <w:rsid w:val="006E7BF9"/>
    <w:rsid w:val="006F1D2E"/>
    <w:rsid w:val="006F1FA8"/>
    <w:rsid w:val="006F3EE4"/>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931A9"/>
    <w:rsid w:val="007A087D"/>
    <w:rsid w:val="007A145E"/>
    <w:rsid w:val="007A1EAA"/>
    <w:rsid w:val="007A2F03"/>
    <w:rsid w:val="007A7858"/>
    <w:rsid w:val="007A79FD"/>
    <w:rsid w:val="007B036F"/>
    <w:rsid w:val="007B0B9D"/>
    <w:rsid w:val="007B0B9F"/>
    <w:rsid w:val="007B26E3"/>
    <w:rsid w:val="007B5A43"/>
    <w:rsid w:val="007B709B"/>
    <w:rsid w:val="007B7CF3"/>
    <w:rsid w:val="007C1343"/>
    <w:rsid w:val="007C20F1"/>
    <w:rsid w:val="007C3183"/>
    <w:rsid w:val="007C5EF1"/>
    <w:rsid w:val="007C7BF5"/>
    <w:rsid w:val="007D0B8F"/>
    <w:rsid w:val="007D19B7"/>
    <w:rsid w:val="007D2F49"/>
    <w:rsid w:val="007D3367"/>
    <w:rsid w:val="007D75E5"/>
    <w:rsid w:val="007D773E"/>
    <w:rsid w:val="007D7976"/>
    <w:rsid w:val="007E066E"/>
    <w:rsid w:val="007E0FF5"/>
    <w:rsid w:val="007E1356"/>
    <w:rsid w:val="007E17C3"/>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54B9"/>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4DD1"/>
    <w:rsid w:val="008F6056"/>
    <w:rsid w:val="00901E93"/>
    <w:rsid w:val="00902C07"/>
    <w:rsid w:val="00905804"/>
    <w:rsid w:val="009101E2"/>
    <w:rsid w:val="0091463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05D8"/>
    <w:rsid w:val="009415B0"/>
    <w:rsid w:val="00947E7E"/>
    <w:rsid w:val="0095139A"/>
    <w:rsid w:val="00953E16"/>
    <w:rsid w:val="009542AC"/>
    <w:rsid w:val="00955784"/>
    <w:rsid w:val="00961BB2"/>
    <w:rsid w:val="00962108"/>
    <w:rsid w:val="009638D6"/>
    <w:rsid w:val="0097408E"/>
    <w:rsid w:val="00974BB2"/>
    <w:rsid w:val="00974FA7"/>
    <w:rsid w:val="009756E5"/>
    <w:rsid w:val="00976B79"/>
    <w:rsid w:val="00977A8C"/>
    <w:rsid w:val="00981568"/>
    <w:rsid w:val="00983910"/>
    <w:rsid w:val="00983BA4"/>
    <w:rsid w:val="00986397"/>
    <w:rsid w:val="00986EB6"/>
    <w:rsid w:val="0098729E"/>
    <w:rsid w:val="0099316F"/>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3DD7"/>
    <w:rsid w:val="009E433B"/>
    <w:rsid w:val="009E5401"/>
    <w:rsid w:val="009F1C8B"/>
    <w:rsid w:val="009F7493"/>
    <w:rsid w:val="00A02E45"/>
    <w:rsid w:val="00A03814"/>
    <w:rsid w:val="00A0565A"/>
    <w:rsid w:val="00A0758F"/>
    <w:rsid w:val="00A10019"/>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96D"/>
    <w:rsid w:val="00A56AC9"/>
    <w:rsid w:val="00A604A4"/>
    <w:rsid w:val="00A61B7D"/>
    <w:rsid w:val="00A6413E"/>
    <w:rsid w:val="00A65BF4"/>
    <w:rsid w:val="00A6605B"/>
    <w:rsid w:val="00A66ADC"/>
    <w:rsid w:val="00A7147D"/>
    <w:rsid w:val="00A73AAE"/>
    <w:rsid w:val="00A76B8E"/>
    <w:rsid w:val="00A81B15"/>
    <w:rsid w:val="00A8270E"/>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457C3"/>
    <w:rsid w:val="00B54BA9"/>
    <w:rsid w:val="00B55FF3"/>
    <w:rsid w:val="00B57265"/>
    <w:rsid w:val="00B62C5B"/>
    <w:rsid w:val="00B633AE"/>
    <w:rsid w:val="00B665D2"/>
    <w:rsid w:val="00B668B6"/>
    <w:rsid w:val="00B6737C"/>
    <w:rsid w:val="00B7214D"/>
    <w:rsid w:val="00B74372"/>
    <w:rsid w:val="00B75525"/>
    <w:rsid w:val="00B7776F"/>
    <w:rsid w:val="00B80283"/>
    <w:rsid w:val="00B8095F"/>
    <w:rsid w:val="00B80B0C"/>
    <w:rsid w:val="00B80B11"/>
    <w:rsid w:val="00B831AE"/>
    <w:rsid w:val="00B8446C"/>
    <w:rsid w:val="00B867B0"/>
    <w:rsid w:val="00B86973"/>
    <w:rsid w:val="00B87725"/>
    <w:rsid w:val="00B87D2A"/>
    <w:rsid w:val="00B971BF"/>
    <w:rsid w:val="00BA259A"/>
    <w:rsid w:val="00BA259C"/>
    <w:rsid w:val="00BA29D3"/>
    <w:rsid w:val="00BA307F"/>
    <w:rsid w:val="00BA5280"/>
    <w:rsid w:val="00BA7DDF"/>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07D26"/>
    <w:rsid w:val="00C12D13"/>
    <w:rsid w:val="00C1329B"/>
    <w:rsid w:val="00C15304"/>
    <w:rsid w:val="00C1572F"/>
    <w:rsid w:val="00C20603"/>
    <w:rsid w:val="00C24C05"/>
    <w:rsid w:val="00C24D2F"/>
    <w:rsid w:val="00C26222"/>
    <w:rsid w:val="00C31283"/>
    <w:rsid w:val="00C33C48"/>
    <w:rsid w:val="00C340E5"/>
    <w:rsid w:val="00C342E9"/>
    <w:rsid w:val="00C35AA7"/>
    <w:rsid w:val="00C404C3"/>
    <w:rsid w:val="00C43BA1"/>
    <w:rsid w:val="00C43DAB"/>
    <w:rsid w:val="00C47F08"/>
    <w:rsid w:val="00C514A6"/>
    <w:rsid w:val="00C51A9B"/>
    <w:rsid w:val="00C533D2"/>
    <w:rsid w:val="00C54FA9"/>
    <w:rsid w:val="00C56B8A"/>
    <w:rsid w:val="00C56EEC"/>
    <w:rsid w:val="00C5739F"/>
    <w:rsid w:val="00C57CF0"/>
    <w:rsid w:val="00C60483"/>
    <w:rsid w:val="00C63557"/>
    <w:rsid w:val="00C63C9C"/>
    <w:rsid w:val="00C63EA1"/>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2758"/>
    <w:rsid w:val="00C943F3"/>
    <w:rsid w:val="00C95617"/>
    <w:rsid w:val="00C95ED8"/>
    <w:rsid w:val="00CA08C6"/>
    <w:rsid w:val="00CA0A77"/>
    <w:rsid w:val="00CA1EF6"/>
    <w:rsid w:val="00CA2729"/>
    <w:rsid w:val="00CA3057"/>
    <w:rsid w:val="00CA45F8"/>
    <w:rsid w:val="00CA5B5A"/>
    <w:rsid w:val="00CA66CB"/>
    <w:rsid w:val="00CA7807"/>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1B19"/>
    <w:rsid w:val="00D236C4"/>
    <w:rsid w:val="00D266EA"/>
    <w:rsid w:val="00D27E92"/>
    <w:rsid w:val="00D3188C"/>
    <w:rsid w:val="00D35F9B"/>
    <w:rsid w:val="00D36B69"/>
    <w:rsid w:val="00D408DD"/>
    <w:rsid w:val="00D43F83"/>
    <w:rsid w:val="00D45589"/>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2990"/>
    <w:rsid w:val="00DA3A86"/>
    <w:rsid w:val="00DA7377"/>
    <w:rsid w:val="00DB2F69"/>
    <w:rsid w:val="00DB6E21"/>
    <w:rsid w:val="00DB73FC"/>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34D5"/>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121E"/>
    <w:rsid w:val="00E65BC6"/>
    <w:rsid w:val="00E65DF8"/>
    <w:rsid w:val="00E661FF"/>
    <w:rsid w:val="00E704F5"/>
    <w:rsid w:val="00E726EB"/>
    <w:rsid w:val="00E72CF1"/>
    <w:rsid w:val="00E77A8D"/>
    <w:rsid w:val="00E80B52"/>
    <w:rsid w:val="00E80BEB"/>
    <w:rsid w:val="00E824C3"/>
    <w:rsid w:val="00E840B3"/>
    <w:rsid w:val="00E84D10"/>
    <w:rsid w:val="00E8629F"/>
    <w:rsid w:val="00E91008"/>
    <w:rsid w:val="00E91773"/>
    <w:rsid w:val="00E9214E"/>
    <w:rsid w:val="00E9339E"/>
    <w:rsid w:val="00E9374E"/>
    <w:rsid w:val="00E94F54"/>
    <w:rsid w:val="00E94FAA"/>
    <w:rsid w:val="00E9577C"/>
    <w:rsid w:val="00E95C45"/>
    <w:rsid w:val="00E9641B"/>
    <w:rsid w:val="00E97AD5"/>
    <w:rsid w:val="00EA1111"/>
    <w:rsid w:val="00EA3B4F"/>
    <w:rsid w:val="00EA3C24"/>
    <w:rsid w:val="00EA3E80"/>
    <w:rsid w:val="00EA5369"/>
    <w:rsid w:val="00EA73DF"/>
    <w:rsid w:val="00EB498B"/>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6777"/>
    <w:rsid w:val="00F575FF"/>
    <w:rsid w:val="00F60089"/>
    <w:rsid w:val="00F618EF"/>
    <w:rsid w:val="00F65582"/>
    <w:rsid w:val="00F65AC3"/>
    <w:rsid w:val="00F66E75"/>
    <w:rsid w:val="00F7087D"/>
    <w:rsid w:val="00F744CB"/>
    <w:rsid w:val="00F75E9B"/>
    <w:rsid w:val="00F77EB0"/>
    <w:rsid w:val="00F87CDD"/>
    <w:rsid w:val="00F90DEA"/>
    <w:rsid w:val="00F9245E"/>
    <w:rsid w:val="00F92932"/>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18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483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7656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8492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3</Pages>
  <Words>1098</Words>
  <Characters>6264</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112</cp:revision>
  <cp:lastPrinted>2019-04-25T01:09:00Z</cp:lastPrinted>
  <dcterms:created xsi:type="dcterms:W3CDTF">2023-02-01T07:09:00Z</dcterms:created>
  <dcterms:modified xsi:type="dcterms:W3CDTF">2023-04-10T14:24:00Z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